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A634F"/>
    <w:p w14:paraId="4E8F66A9"/>
    <w:p w14:paraId="6CFDAA32"/>
    <w:p w14:paraId="381CFE34"/>
    <w:p w14:paraId="0ABC92FC"/>
    <w:p w14:paraId="7F6C0B2B"/>
    <w:p w14:paraId="26CF567B"/>
    <w:p w14:paraId="45EF760C"/>
    <w:p w14:paraId="4A940C4A">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四川省</w:t>
      </w:r>
      <w:r>
        <w:rPr>
          <w:rFonts w:hint="eastAsia" w:ascii="方正小标宋简体" w:eastAsia="方正小标宋简体"/>
          <w:color w:val="000000"/>
          <w:sz w:val="36"/>
          <w:szCs w:val="36"/>
          <w:lang w:eastAsia="zh-CN"/>
        </w:rPr>
        <w:t>品牌建设促进会</w:t>
      </w:r>
      <w:r>
        <w:rPr>
          <w:rFonts w:hint="eastAsia" w:ascii="方正小标宋简体" w:eastAsia="方正小标宋简体"/>
          <w:color w:val="000000"/>
          <w:sz w:val="36"/>
          <w:szCs w:val="36"/>
        </w:rPr>
        <w:t>团体标准</w:t>
      </w:r>
    </w:p>
    <w:p w14:paraId="01A6DADD">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w:t>
      </w:r>
      <w:r>
        <w:rPr>
          <w:rFonts w:hint="eastAsia" w:ascii="方正小标宋简体" w:eastAsia="方正小标宋简体"/>
          <w:color w:val="000000"/>
          <w:sz w:val="36"/>
          <w:szCs w:val="36"/>
          <w:lang w:eastAsia="zh-CN"/>
        </w:rPr>
        <w:t>抹茶</w:t>
      </w:r>
      <w:r>
        <w:rPr>
          <w:rFonts w:hint="eastAsia" w:ascii="方正小标宋简体" w:eastAsia="方正小标宋简体"/>
          <w:color w:val="000000"/>
          <w:sz w:val="36"/>
          <w:szCs w:val="36"/>
        </w:rPr>
        <w:t>》（</w:t>
      </w:r>
      <w:r>
        <w:rPr>
          <w:rFonts w:hint="eastAsia" w:ascii="方正小标宋简体" w:eastAsia="方正小标宋简体"/>
          <w:color w:val="000000"/>
          <w:sz w:val="36"/>
          <w:szCs w:val="36"/>
          <w:lang w:val="en-US" w:eastAsia="zh-CN"/>
        </w:rPr>
        <w:t>征求意见</w:t>
      </w:r>
      <w:r>
        <w:rPr>
          <w:rFonts w:hint="eastAsia" w:ascii="方正小标宋简体" w:eastAsia="方正小标宋简体"/>
          <w:color w:val="000000"/>
          <w:sz w:val="36"/>
          <w:szCs w:val="36"/>
        </w:rPr>
        <w:t>稿）</w:t>
      </w:r>
    </w:p>
    <w:p w14:paraId="7F874166">
      <w:pPr>
        <w:jc w:val="center"/>
        <w:rPr>
          <w:rFonts w:ascii="方正小标宋简体" w:eastAsia="方正小标宋简体"/>
          <w:color w:val="000000"/>
          <w:sz w:val="36"/>
          <w:szCs w:val="36"/>
        </w:rPr>
      </w:pPr>
    </w:p>
    <w:p w14:paraId="4783D6FA">
      <w:pPr>
        <w:jc w:val="center"/>
        <w:rPr>
          <w:rFonts w:ascii="方正小标宋简体" w:eastAsia="方正小标宋简体"/>
          <w:color w:val="000000"/>
          <w:sz w:val="36"/>
          <w:szCs w:val="36"/>
        </w:rPr>
      </w:pPr>
    </w:p>
    <w:p w14:paraId="3BC5E0E1">
      <w:pPr>
        <w:jc w:val="center"/>
        <w:rPr>
          <w:rFonts w:ascii="方正小标宋简体" w:eastAsia="方正小标宋简体"/>
          <w:color w:val="000000"/>
          <w:sz w:val="52"/>
          <w:szCs w:val="52"/>
        </w:rPr>
      </w:pPr>
      <w:r>
        <w:rPr>
          <w:rFonts w:hint="eastAsia" w:ascii="方正小标宋简体" w:eastAsia="方正小标宋简体"/>
          <w:color w:val="000000"/>
          <w:sz w:val="52"/>
          <w:szCs w:val="52"/>
        </w:rPr>
        <w:t>编制说明</w:t>
      </w:r>
    </w:p>
    <w:p w14:paraId="4783DCBB">
      <w:pPr>
        <w:jc w:val="center"/>
        <w:rPr>
          <w:rFonts w:ascii="方正小标宋简体" w:eastAsia="方正小标宋简体"/>
          <w:color w:val="000000"/>
          <w:sz w:val="36"/>
          <w:szCs w:val="36"/>
        </w:rPr>
      </w:pPr>
    </w:p>
    <w:p w14:paraId="31BA186F">
      <w:pPr>
        <w:jc w:val="center"/>
        <w:rPr>
          <w:rFonts w:ascii="方正小标宋简体" w:eastAsia="方正小标宋简体"/>
          <w:color w:val="000000"/>
          <w:sz w:val="36"/>
          <w:szCs w:val="36"/>
        </w:rPr>
      </w:pPr>
    </w:p>
    <w:p w14:paraId="7AF2069F">
      <w:pPr>
        <w:jc w:val="center"/>
        <w:rPr>
          <w:rFonts w:ascii="方正小标宋简体" w:eastAsia="方正小标宋简体"/>
          <w:color w:val="000000"/>
          <w:sz w:val="36"/>
          <w:szCs w:val="36"/>
        </w:rPr>
      </w:pPr>
    </w:p>
    <w:p w14:paraId="528C61E4">
      <w:pPr>
        <w:jc w:val="center"/>
        <w:rPr>
          <w:rFonts w:ascii="方正小标宋简体" w:eastAsia="方正小标宋简体"/>
          <w:color w:val="000000"/>
          <w:sz w:val="36"/>
          <w:szCs w:val="36"/>
        </w:rPr>
      </w:pPr>
    </w:p>
    <w:p w14:paraId="12A7BD4D">
      <w:pPr>
        <w:jc w:val="center"/>
        <w:rPr>
          <w:rFonts w:ascii="方正小标宋简体" w:eastAsia="方正小标宋简体"/>
          <w:color w:val="000000"/>
          <w:sz w:val="36"/>
          <w:szCs w:val="36"/>
        </w:rPr>
      </w:pPr>
    </w:p>
    <w:p w14:paraId="66431613">
      <w:pPr>
        <w:jc w:val="center"/>
        <w:rPr>
          <w:rFonts w:ascii="方正小标宋简体" w:eastAsia="方正小标宋简体"/>
          <w:color w:val="000000"/>
          <w:sz w:val="36"/>
          <w:szCs w:val="36"/>
        </w:rPr>
      </w:pPr>
    </w:p>
    <w:p w14:paraId="7F220362">
      <w:pPr>
        <w:jc w:val="center"/>
        <w:rPr>
          <w:rFonts w:ascii="方正小标宋简体" w:eastAsia="方正小标宋简体"/>
          <w:color w:val="000000"/>
          <w:sz w:val="36"/>
          <w:szCs w:val="36"/>
        </w:rPr>
      </w:pPr>
    </w:p>
    <w:p w14:paraId="05ACEA15">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标准起草组</w:t>
      </w:r>
    </w:p>
    <w:p w14:paraId="42561C7B">
      <w:pPr>
        <w:jc w:val="center"/>
        <w:rPr>
          <w:rFonts w:hint="eastAsia" w:ascii="方正小标宋简体" w:eastAsia="方正小标宋简体"/>
          <w:color w:val="000000"/>
          <w:sz w:val="32"/>
          <w:szCs w:val="32"/>
        </w:rPr>
      </w:pPr>
    </w:p>
    <w:p w14:paraId="0804703E">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202</w:t>
      </w:r>
      <w:r>
        <w:rPr>
          <w:rFonts w:hint="eastAsia" w:ascii="方正小标宋简体" w:eastAsia="方正小标宋简体"/>
          <w:color w:val="000000"/>
          <w:sz w:val="32"/>
          <w:szCs w:val="32"/>
          <w:lang w:val="en-US" w:eastAsia="zh-CN"/>
        </w:rPr>
        <w:t>6</w:t>
      </w:r>
      <w:r>
        <w:rPr>
          <w:rFonts w:hint="eastAsia" w:ascii="方正小标宋简体" w:eastAsia="方正小标宋简体"/>
          <w:color w:val="000000"/>
          <w:sz w:val="32"/>
          <w:szCs w:val="32"/>
        </w:rPr>
        <w:t>年</w:t>
      </w:r>
      <w:r>
        <w:rPr>
          <w:rFonts w:hint="eastAsia" w:ascii="方正小标宋简体" w:eastAsia="方正小标宋简体"/>
          <w:color w:val="000000"/>
          <w:sz w:val="32"/>
          <w:szCs w:val="32"/>
          <w:lang w:val="en-US" w:eastAsia="zh-CN"/>
        </w:rPr>
        <w:t>8</w:t>
      </w:r>
      <w:r>
        <w:rPr>
          <w:rFonts w:hint="eastAsia" w:ascii="方正小标宋简体" w:eastAsia="方正小标宋简体"/>
          <w:color w:val="000000"/>
          <w:sz w:val="32"/>
          <w:szCs w:val="32"/>
        </w:rPr>
        <w:t>月</w:t>
      </w:r>
    </w:p>
    <w:p w14:paraId="4A7414F6">
      <w:pPr>
        <w:jc w:val="center"/>
        <w:rPr>
          <w:rFonts w:ascii="方正小标宋简体" w:eastAsia="方正小标宋简体"/>
          <w:color w:val="000000"/>
          <w:sz w:val="32"/>
          <w:szCs w:val="32"/>
        </w:rPr>
      </w:pPr>
    </w:p>
    <w:p w14:paraId="50D05A21">
      <w:pPr>
        <w:spacing w:line="600" w:lineRule="exact"/>
        <w:jc w:val="center"/>
        <w:rPr>
          <w:rFonts w:hint="eastAsia" w:ascii="方正小标宋简体" w:eastAsia="方正小标宋简体"/>
          <w:color w:val="000000"/>
          <w:sz w:val="44"/>
          <w:szCs w:val="44"/>
        </w:rPr>
      </w:pPr>
    </w:p>
    <w:p w14:paraId="0BB9B73F">
      <w:pPr>
        <w:spacing w:line="600" w:lineRule="exact"/>
        <w:jc w:val="center"/>
        <w:rPr>
          <w:rFonts w:hint="eastAsia" w:ascii="方正小标宋简体" w:eastAsia="方正小标宋简体"/>
          <w:color w:val="000000"/>
          <w:sz w:val="44"/>
          <w:szCs w:val="44"/>
        </w:rPr>
      </w:pPr>
    </w:p>
    <w:p w14:paraId="29869091">
      <w:pPr>
        <w:spacing w:line="600" w:lineRule="exact"/>
        <w:jc w:val="center"/>
        <w:rPr>
          <w:rFonts w:hint="eastAsia" w:ascii="方正小标宋简体" w:eastAsia="方正小标宋简体"/>
          <w:color w:val="000000"/>
          <w:sz w:val="44"/>
          <w:szCs w:val="44"/>
        </w:rPr>
      </w:pPr>
    </w:p>
    <w:p w14:paraId="58A17AEE">
      <w:pPr>
        <w:spacing w:line="600" w:lineRule="exact"/>
        <w:jc w:val="center"/>
        <w:rPr>
          <w:rFonts w:ascii="方正小标宋简体" w:eastAsia="方正小标宋简体"/>
          <w:color w:val="000000"/>
          <w:sz w:val="44"/>
          <w:szCs w:val="44"/>
        </w:rPr>
      </w:pPr>
    </w:p>
    <w:p w14:paraId="486F5254">
      <w:pPr>
        <w:spacing w:line="600" w:lineRule="exact"/>
        <w:jc w:val="center"/>
        <w:rPr>
          <w:rFonts w:ascii="方正小标宋简体" w:eastAsia="方正小标宋简体"/>
          <w:color w:val="auto"/>
          <w:sz w:val="44"/>
          <w:szCs w:val="44"/>
        </w:rPr>
      </w:pPr>
      <w:r>
        <w:rPr>
          <w:rFonts w:hint="eastAsia" w:ascii="方正小标宋简体" w:eastAsia="方正小标宋简体"/>
          <w:color w:val="auto"/>
          <w:sz w:val="44"/>
          <w:szCs w:val="44"/>
        </w:rPr>
        <w:t>四川省</w:t>
      </w:r>
      <w:r>
        <w:rPr>
          <w:rFonts w:hint="eastAsia" w:ascii="方正小标宋简体" w:eastAsia="方正小标宋简体"/>
          <w:color w:val="auto"/>
          <w:sz w:val="44"/>
          <w:szCs w:val="44"/>
          <w:lang w:val="en-US" w:eastAsia="zh-CN"/>
        </w:rPr>
        <w:t>品牌建设促进会</w:t>
      </w:r>
      <w:r>
        <w:rPr>
          <w:rFonts w:hint="eastAsia" w:ascii="方正小标宋简体" w:eastAsia="方正小标宋简体"/>
          <w:color w:val="auto"/>
          <w:sz w:val="44"/>
          <w:szCs w:val="44"/>
        </w:rPr>
        <w:t>团体标准</w:t>
      </w:r>
    </w:p>
    <w:p w14:paraId="63B5149A">
      <w:pPr>
        <w:spacing w:line="6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w:t>
      </w:r>
      <w:r>
        <w:rPr>
          <w:rFonts w:hint="eastAsia" w:ascii="方正小标宋简体" w:eastAsia="方正小标宋简体"/>
          <w:color w:val="000000"/>
          <w:sz w:val="44"/>
          <w:szCs w:val="44"/>
          <w:lang w:eastAsia="zh-CN"/>
        </w:rPr>
        <w:t>抹茶</w:t>
      </w:r>
      <w:r>
        <w:rPr>
          <w:rFonts w:hint="eastAsia" w:ascii="方正小标宋简体" w:eastAsia="方正小标宋简体"/>
          <w:color w:val="000000"/>
          <w:sz w:val="44"/>
          <w:szCs w:val="44"/>
        </w:rPr>
        <w:t>》（</w:t>
      </w:r>
      <w:r>
        <w:rPr>
          <w:rFonts w:hint="eastAsia" w:ascii="方正小标宋简体" w:eastAsia="方正小标宋简体"/>
          <w:color w:val="000000"/>
          <w:sz w:val="44"/>
          <w:szCs w:val="44"/>
          <w:lang w:val="en-US" w:eastAsia="zh-CN"/>
        </w:rPr>
        <w:t>征求意见</w:t>
      </w:r>
      <w:r>
        <w:rPr>
          <w:rFonts w:hint="eastAsia" w:ascii="方正小标宋简体" w:eastAsia="方正小标宋简体"/>
          <w:color w:val="000000"/>
          <w:sz w:val="44"/>
          <w:szCs w:val="44"/>
        </w:rPr>
        <w:t>稿）</w:t>
      </w:r>
    </w:p>
    <w:p w14:paraId="72E76E43">
      <w:pPr>
        <w:spacing w:line="600" w:lineRule="exact"/>
        <w:jc w:val="center"/>
        <w:rPr>
          <w:rFonts w:ascii="方正小标宋简体" w:eastAsia="方正小标宋简体"/>
          <w:color w:val="000000"/>
          <w:sz w:val="44"/>
          <w:szCs w:val="44"/>
        </w:rPr>
      </w:pPr>
      <w:r>
        <w:rPr>
          <w:rFonts w:hint="eastAsia" w:ascii="方正小标宋简体" w:eastAsia="方正小标宋简体"/>
          <w:color w:val="000000"/>
          <w:sz w:val="44"/>
          <w:szCs w:val="44"/>
        </w:rPr>
        <w:t>编制说明</w:t>
      </w:r>
    </w:p>
    <w:p w14:paraId="5062D768">
      <w:pPr>
        <w:spacing w:line="600" w:lineRule="exact"/>
        <w:jc w:val="center"/>
        <w:rPr>
          <w:rFonts w:ascii="方正小标宋简体" w:eastAsia="方正小标宋简体"/>
          <w:color w:val="000000"/>
          <w:sz w:val="44"/>
          <w:szCs w:val="44"/>
        </w:rPr>
      </w:pPr>
    </w:p>
    <w:p w14:paraId="1FE6EF48">
      <w:pPr>
        <w:pStyle w:val="2"/>
        <w:spacing w:before="0" w:after="0" w:line="594" w:lineRule="exact"/>
        <w:rPr>
          <w:rFonts w:ascii="黑体" w:eastAsia="黑体"/>
          <w:b w:val="0"/>
          <w:sz w:val="32"/>
          <w:szCs w:val="32"/>
        </w:rPr>
      </w:pPr>
      <w:r>
        <w:rPr>
          <w:rFonts w:hint="eastAsia" w:ascii="黑体" w:eastAsia="黑体"/>
          <w:b w:val="0"/>
          <w:sz w:val="32"/>
          <w:szCs w:val="32"/>
        </w:rPr>
        <w:t xml:space="preserve">   </w:t>
      </w:r>
      <w:bookmarkStart w:id="0" w:name="_Toc288962939"/>
      <w:r>
        <w:rPr>
          <w:rFonts w:hint="eastAsia" w:ascii="黑体" w:eastAsia="黑体"/>
          <w:b w:val="0"/>
          <w:sz w:val="32"/>
          <w:szCs w:val="32"/>
        </w:rPr>
        <w:t>一、标准制定的背景及意义</w:t>
      </w:r>
      <w:bookmarkEnd w:id="0"/>
    </w:p>
    <w:p w14:paraId="69DD6B28">
      <w:pPr>
        <w:ind w:firstLine="560"/>
        <w:rPr>
          <w:rFonts w:hint="eastAsia" w:ascii="仿宋" w:hAnsi="仿宋" w:eastAsia="仿宋" w:cs="Times New Roman"/>
          <w:kern w:val="0"/>
          <w:sz w:val="28"/>
          <w:szCs w:val="28"/>
        </w:rPr>
      </w:pPr>
      <w:r>
        <w:rPr>
          <w:rFonts w:hint="eastAsia" w:ascii="仿宋" w:hAnsi="仿宋" w:eastAsia="仿宋" w:cs="Times New Roman"/>
          <w:kern w:val="0"/>
          <w:sz w:val="28"/>
          <w:szCs w:val="28"/>
        </w:rPr>
        <w:t>纳溪区作为中国特早茶之乡、中国名茶之乡、全省20个茶叶重点县(区)之一，现有茶园31.5万亩，年产茶叶2.4万吨，年综合产值超90亿元，茶产业已成为乡村振兴的支柱产业。近年来，面对传统茶产业产品单一、附加值低的难题，纳溪区正以“生态为根、全链为骨、科创为魂、融合为翼”，</w:t>
      </w:r>
      <w:bookmarkStart w:id="1" w:name="OLE_LINK11"/>
      <w:r>
        <w:rPr>
          <w:rFonts w:hint="eastAsia" w:ascii="仿宋" w:hAnsi="仿宋" w:eastAsia="仿宋" w:cs="Times New Roman"/>
          <w:kern w:val="0"/>
          <w:sz w:val="28"/>
          <w:szCs w:val="28"/>
        </w:rPr>
        <w:t>锚定“四川抹茶第一县”</w:t>
      </w:r>
      <w:bookmarkEnd w:id="1"/>
      <w:r>
        <w:rPr>
          <w:rFonts w:hint="eastAsia" w:ascii="仿宋" w:hAnsi="仿宋" w:eastAsia="仿宋" w:cs="Times New Roman"/>
          <w:kern w:val="0"/>
          <w:sz w:val="28"/>
          <w:szCs w:val="28"/>
        </w:rPr>
        <w:t>目标，现已建成6000亩标准化抹茶专属基地和四川首个抹茶专业加工园区，园区计划年产高品质抹茶100吨，加工能力跻身川内前列，抹茶加工、集散中心加速成型，实现从卖鲜叶到研发抹茶等高附加值产品的跨越，带动2.4万户茶农户均年增收超4000元，走出一条“三茶统筹”的高质量发展路。</w:t>
      </w:r>
    </w:p>
    <w:p w14:paraId="4C4AFBBD">
      <w:pPr>
        <w:ind w:firstLine="560"/>
        <w:rPr>
          <w:rFonts w:hint="eastAsia" w:ascii="仿宋" w:hAnsi="仿宋" w:eastAsia="仿宋" w:cs="Times New Roman"/>
          <w:kern w:val="0"/>
          <w:sz w:val="28"/>
          <w:szCs w:val="28"/>
        </w:rPr>
      </w:pPr>
      <w:r>
        <w:rPr>
          <w:rFonts w:hint="eastAsia" w:ascii="仿宋" w:hAnsi="仿宋" w:eastAsia="仿宋" w:cs="Times New Roman"/>
          <w:kern w:val="0"/>
          <w:sz w:val="28"/>
          <w:szCs w:val="28"/>
        </w:rPr>
        <w:t>然而，与传统冲泡茶相比，由于抹茶以其“全叶食用”的独特消费方式，在最大限度保留茶叶营养成分的同时，也导致其质量安全面临更严峻的挑战，即抹茶中的重金属、农药残留等风险物质将随茶粉被人体直接、完整摄入，其暴露风险远高于传统泡饮茶方式，这对原料种植、加工过程及终产品的安全性提出了更高的要求。但目前，我国现行国家标</w:t>
      </w:r>
      <w:r>
        <w:rPr>
          <w:rFonts w:hint="eastAsia" w:ascii="仿宋" w:hAnsi="仿宋" w:eastAsia="仿宋" w:cs="Times New Roman"/>
          <w:kern w:val="0"/>
          <w:sz w:val="28"/>
          <w:szCs w:val="28"/>
          <w:lang w:eastAsia="zh-CN"/>
        </w:rPr>
        <w:t>准GB/T 34778</w:t>
      </w:r>
      <w:r>
        <w:rPr>
          <w:rFonts w:hint="eastAsia" w:ascii="仿宋" w:hAnsi="仿宋" w:eastAsia="仿宋" w:cs="Times New Roman"/>
          <w:kern w:val="0"/>
          <w:sz w:val="28"/>
          <w:szCs w:val="28"/>
          <w:lang w:val="en-US" w:eastAsia="zh-CN"/>
        </w:rPr>
        <w:t>—2017</w:t>
      </w:r>
      <w:r>
        <w:rPr>
          <w:rFonts w:hint="eastAsia" w:ascii="仿宋" w:hAnsi="仿宋" w:eastAsia="仿宋" w:cs="Times New Roman"/>
          <w:kern w:val="0"/>
          <w:sz w:val="28"/>
          <w:szCs w:val="28"/>
          <w:lang w:eastAsia="zh-CN"/>
        </w:rPr>
        <w:t>《</w:t>
      </w:r>
      <w:r>
        <w:rPr>
          <w:rFonts w:hint="eastAsia" w:ascii="仿宋" w:hAnsi="仿宋" w:eastAsia="仿宋" w:cs="Times New Roman"/>
          <w:kern w:val="0"/>
          <w:sz w:val="28"/>
          <w:szCs w:val="28"/>
        </w:rPr>
        <w:t>抹茶》对污染物和农药残留的规定仍与传统冲泡茶一致，均执行GB 2762-2022《食品安全国家标准 食品中污染物限量》和GB2763-2026《食品安全国家标准 食品中农药最大残留限量》的规定，即1种重金属（铅）和112项农药残留限量，</w:t>
      </w:r>
      <w:r>
        <w:rPr>
          <w:rFonts w:hint="eastAsia" w:ascii="仿宋" w:hAnsi="仿宋" w:eastAsia="仿宋" w:cs="Times New Roman"/>
          <w:kern w:val="0"/>
          <w:sz w:val="28"/>
          <w:szCs w:val="28"/>
          <w:lang w:eastAsia="zh-CN"/>
        </w:rPr>
        <w:t>已不能满足消费者日益提高的安全要求。另一方面，</w:t>
      </w:r>
      <w:r>
        <w:rPr>
          <w:rFonts w:hint="eastAsia" w:ascii="仿宋" w:hAnsi="仿宋" w:eastAsia="仿宋" w:cs="Times New Roman"/>
          <w:kern w:val="0"/>
          <w:sz w:val="28"/>
          <w:szCs w:val="28"/>
        </w:rPr>
        <w:t>纳溪区由于存在显著的地理优势和资源禀赋优势，茶叶中</w:t>
      </w:r>
      <w:r>
        <w:rPr>
          <w:rFonts w:hint="eastAsia" w:ascii="仿宋" w:hAnsi="仿宋" w:eastAsia="仿宋" w:cs="Times New Roman"/>
          <w:kern w:val="0"/>
          <w:sz w:val="28"/>
          <w:szCs w:val="28"/>
          <w:lang w:eastAsia="zh-CN"/>
        </w:rPr>
        <w:t>茶多酚</w:t>
      </w:r>
      <w:r>
        <w:rPr>
          <w:rFonts w:hint="eastAsia" w:ascii="仿宋" w:hAnsi="仿宋" w:eastAsia="仿宋" w:cs="Times New Roman"/>
          <w:kern w:val="0"/>
          <w:sz w:val="28"/>
          <w:szCs w:val="28"/>
        </w:rPr>
        <w:t>、</w:t>
      </w:r>
      <w:r>
        <w:rPr>
          <w:rFonts w:hint="eastAsia" w:ascii="仿宋" w:hAnsi="仿宋" w:eastAsia="仿宋" w:cs="Times New Roman"/>
          <w:kern w:val="0"/>
          <w:sz w:val="28"/>
          <w:szCs w:val="28"/>
          <w:lang w:eastAsia="zh-CN"/>
        </w:rPr>
        <w:t>叶绿素、儿茶素</w:t>
      </w:r>
      <w:r>
        <w:rPr>
          <w:rFonts w:hint="eastAsia" w:ascii="仿宋" w:hAnsi="仿宋" w:eastAsia="仿宋" w:cs="Times New Roman"/>
          <w:kern w:val="0"/>
          <w:sz w:val="28"/>
          <w:szCs w:val="28"/>
        </w:rPr>
        <w:t>等</w:t>
      </w:r>
      <w:r>
        <w:rPr>
          <w:rFonts w:hint="eastAsia" w:ascii="仿宋" w:hAnsi="仿宋" w:eastAsia="仿宋" w:cs="Times New Roman"/>
          <w:kern w:val="0"/>
          <w:sz w:val="28"/>
          <w:szCs w:val="28"/>
          <w:lang w:eastAsia="zh-CN"/>
        </w:rPr>
        <w:t>多项抹茶的关键指标</w:t>
      </w:r>
      <w:r>
        <w:rPr>
          <w:rFonts w:hint="eastAsia" w:ascii="仿宋" w:hAnsi="仿宋" w:eastAsia="仿宋" w:cs="Times New Roman"/>
          <w:kern w:val="0"/>
          <w:sz w:val="28"/>
          <w:szCs w:val="28"/>
        </w:rPr>
        <w:t>存在</w:t>
      </w:r>
      <w:r>
        <w:rPr>
          <w:rFonts w:hint="eastAsia" w:ascii="仿宋" w:hAnsi="仿宋" w:eastAsia="仿宋" w:cs="Times New Roman"/>
          <w:kern w:val="0"/>
          <w:sz w:val="28"/>
          <w:szCs w:val="28"/>
          <w:lang w:eastAsia="zh-CN"/>
        </w:rPr>
        <w:t>较大</w:t>
      </w:r>
      <w:r>
        <w:rPr>
          <w:rFonts w:hint="eastAsia" w:ascii="仿宋" w:hAnsi="仿宋" w:eastAsia="仿宋" w:cs="Times New Roman"/>
          <w:kern w:val="0"/>
          <w:sz w:val="28"/>
          <w:szCs w:val="28"/>
        </w:rPr>
        <w:t>比较优势， 而现行国家标准GB/T 34778</w:t>
      </w:r>
      <w:r>
        <w:rPr>
          <w:rFonts w:hint="eastAsia" w:ascii="仿宋" w:hAnsi="仿宋" w:eastAsia="仿宋" w:cs="Times New Roman"/>
          <w:kern w:val="0"/>
          <w:sz w:val="28"/>
          <w:szCs w:val="28"/>
          <w:lang w:val="en-US" w:eastAsia="zh-CN"/>
        </w:rPr>
        <w:t>—2017</w:t>
      </w:r>
      <w:r>
        <w:rPr>
          <w:rFonts w:hint="eastAsia" w:ascii="仿宋" w:hAnsi="仿宋" w:eastAsia="仿宋" w:cs="Times New Roman"/>
          <w:kern w:val="0"/>
          <w:sz w:val="28"/>
          <w:szCs w:val="28"/>
        </w:rPr>
        <w:t>《抹茶》仅对粒度（D60）、水分、总灰分和茶氨酸总量4项理化指标进行了规定，使得纳溪区抹茶中部分理化与营养功效指标含量优势尚不能通过适用标准转化为产品竞争优势。</w:t>
      </w:r>
    </w:p>
    <w:p w14:paraId="6D0E42CB">
      <w:pPr>
        <w:ind w:firstLine="560"/>
        <w:rPr>
          <w:rFonts w:hint="eastAsia" w:ascii="仿宋" w:hAnsi="仿宋" w:eastAsia="仿宋" w:cs="Times New Roman"/>
          <w:kern w:val="0"/>
          <w:sz w:val="28"/>
          <w:szCs w:val="28"/>
        </w:rPr>
      </w:pPr>
      <w:r>
        <w:rPr>
          <w:rFonts w:hint="eastAsia" w:ascii="仿宋" w:hAnsi="仿宋" w:eastAsia="仿宋" w:cs="Times New Roman"/>
          <w:kern w:val="0"/>
          <w:sz w:val="28"/>
          <w:szCs w:val="28"/>
        </w:rPr>
        <w:t>综上所述，为了</w:t>
      </w:r>
      <w:r>
        <w:rPr>
          <w:rFonts w:hint="eastAsia" w:ascii="仿宋" w:hAnsi="仿宋" w:eastAsia="仿宋" w:cs="Times New Roman"/>
          <w:kern w:val="0"/>
          <w:sz w:val="28"/>
          <w:szCs w:val="28"/>
          <w:lang w:eastAsia="zh-CN"/>
        </w:rPr>
        <w:t>提高</w:t>
      </w:r>
      <w:r>
        <w:rPr>
          <w:rFonts w:hint="eastAsia" w:ascii="仿宋" w:hAnsi="仿宋" w:eastAsia="仿宋" w:cs="Times New Roman"/>
          <w:kern w:val="0"/>
          <w:sz w:val="28"/>
          <w:szCs w:val="28"/>
        </w:rPr>
        <w:t>抹茶产品</w:t>
      </w:r>
      <w:r>
        <w:rPr>
          <w:rFonts w:hint="eastAsia" w:ascii="仿宋" w:hAnsi="仿宋" w:eastAsia="仿宋" w:cs="Times New Roman"/>
          <w:kern w:val="0"/>
          <w:sz w:val="28"/>
          <w:szCs w:val="28"/>
          <w:lang w:eastAsia="zh-CN"/>
        </w:rPr>
        <w:t>的安全性、防范潜在</w:t>
      </w:r>
      <w:r>
        <w:rPr>
          <w:rFonts w:hint="eastAsia" w:ascii="仿宋" w:hAnsi="仿宋" w:eastAsia="仿宋" w:cs="Times New Roman"/>
          <w:kern w:val="0"/>
          <w:sz w:val="28"/>
          <w:szCs w:val="28"/>
        </w:rPr>
        <w:t>安全风险隐患</w:t>
      </w:r>
      <w:r>
        <w:rPr>
          <w:rFonts w:hint="eastAsia" w:ascii="仿宋" w:hAnsi="仿宋" w:eastAsia="仿宋" w:cs="Times New Roman"/>
          <w:kern w:val="0"/>
          <w:sz w:val="28"/>
          <w:szCs w:val="28"/>
          <w:lang w:eastAsia="zh-CN"/>
        </w:rPr>
        <w:t>、</w:t>
      </w:r>
      <w:r>
        <w:rPr>
          <w:rFonts w:hint="eastAsia" w:ascii="仿宋" w:hAnsi="仿宋" w:eastAsia="仿宋" w:cs="Times New Roman"/>
          <w:kern w:val="0"/>
          <w:sz w:val="28"/>
          <w:szCs w:val="28"/>
        </w:rPr>
        <w:t>彰显纳溪特早茶产业存在的地理和资源禀赋优势，</w:t>
      </w:r>
      <w:r>
        <w:rPr>
          <w:rFonts w:hint="eastAsia" w:ascii="仿宋" w:hAnsi="仿宋" w:eastAsia="仿宋" w:cs="Times New Roman"/>
          <w:kern w:val="0"/>
          <w:sz w:val="28"/>
          <w:szCs w:val="28"/>
          <w:lang w:eastAsia="zh-CN"/>
        </w:rPr>
        <w:t>急需</w:t>
      </w:r>
      <w:r>
        <w:rPr>
          <w:rFonts w:hint="eastAsia" w:ascii="仿宋" w:hAnsi="仿宋" w:eastAsia="仿宋" w:cs="Times New Roman"/>
          <w:kern w:val="0"/>
          <w:sz w:val="28"/>
          <w:szCs w:val="28"/>
        </w:rPr>
        <w:t>制定严格、科学、系统且富有纳溪地方特色的抹茶团标标准</w:t>
      </w:r>
      <w:r>
        <w:rPr>
          <w:rFonts w:hint="eastAsia" w:ascii="仿宋" w:hAnsi="仿宋" w:eastAsia="仿宋" w:cs="Times New Roman"/>
          <w:kern w:val="0"/>
          <w:sz w:val="28"/>
          <w:szCs w:val="28"/>
          <w:lang w:eastAsia="zh-CN"/>
        </w:rPr>
        <w:t>。标准的制定是产业的迫切需求，对</w:t>
      </w:r>
      <w:r>
        <w:rPr>
          <w:rFonts w:hint="eastAsia" w:ascii="仿宋" w:hAnsi="仿宋" w:eastAsia="仿宋" w:cs="Times New Roman"/>
          <w:kern w:val="0"/>
          <w:sz w:val="28"/>
          <w:szCs w:val="28"/>
        </w:rPr>
        <w:t>切实补齐现行相关标准存在的短板弱项</w:t>
      </w:r>
      <w:r>
        <w:rPr>
          <w:rFonts w:hint="eastAsia" w:ascii="仿宋" w:hAnsi="仿宋" w:eastAsia="仿宋" w:cs="Times New Roman"/>
          <w:kern w:val="0"/>
          <w:sz w:val="28"/>
          <w:szCs w:val="28"/>
          <w:lang w:eastAsia="zh-CN"/>
        </w:rPr>
        <w:t>、</w:t>
      </w:r>
      <w:r>
        <w:rPr>
          <w:rFonts w:hint="eastAsia" w:ascii="仿宋" w:hAnsi="仿宋" w:eastAsia="仿宋" w:cs="Times New Roman"/>
          <w:kern w:val="0"/>
          <w:sz w:val="28"/>
          <w:szCs w:val="28"/>
        </w:rPr>
        <w:t>支撑引领抹茶新赛道健康发展，加快实现“四川抹茶第一县”既定目标，示范带动全省抹茶细分产业高质量发展</w:t>
      </w:r>
      <w:r>
        <w:rPr>
          <w:rFonts w:hint="eastAsia" w:ascii="仿宋" w:hAnsi="仿宋" w:eastAsia="仿宋" w:cs="Times New Roman"/>
          <w:kern w:val="0"/>
          <w:sz w:val="28"/>
          <w:szCs w:val="28"/>
          <w:lang w:eastAsia="zh-CN"/>
        </w:rPr>
        <w:t>具有十分重要的现实意义</w:t>
      </w:r>
      <w:r>
        <w:rPr>
          <w:rFonts w:hint="eastAsia" w:ascii="仿宋" w:hAnsi="仿宋" w:eastAsia="仿宋" w:cs="Times New Roman"/>
          <w:kern w:val="0"/>
          <w:sz w:val="28"/>
          <w:szCs w:val="28"/>
        </w:rPr>
        <w:t>。</w:t>
      </w:r>
    </w:p>
    <w:p w14:paraId="1B18AE52">
      <w:pPr>
        <w:widowControl/>
        <w:spacing w:line="594" w:lineRule="exact"/>
        <w:ind w:firstLine="640" w:firstLineChars="200"/>
        <w:rPr>
          <w:rFonts w:ascii="黑体" w:eastAsia="黑体"/>
          <w:b/>
          <w:sz w:val="32"/>
          <w:szCs w:val="32"/>
        </w:rPr>
      </w:pPr>
      <w:r>
        <w:rPr>
          <w:rFonts w:hint="eastAsia" w:ascii="黑体" w:eastAsia="黑体"/>
          <w:sz w:val="32"/>
          <w:szCs w:val="32"/>
        </w:rPr>
        <w:t>二、任务来源</w:t>
      </w:r>
    </w:p>
    <w:p w14:paraId="542C8666">
      <w:pPr>
        <w:ind w:firstLine="560"/>
        <w:rPr>
          <w:rFonts w:hint="eastAsia" w:ascii="仿宋" w:hAnsi="仿宋" w:eastAsia="仿宋" w:cs="Times New Roman"/>
          <w:kern w:val="0"/>
          <w:sz w:val="28"/>
          <w:szCs w:val="28"/>
          <w:lang w:val="en-US" w:eastAsia="zh-CN"/>
        </w:rPr>
      </w:pPr>
      <w:r>
        <w:rPr>
          <w:rFonts w:hint="eastAsia" w:ascii="仿宋" w:hAnsi="仿宋" w:eastAsia="仿宋" w:cs="Times New Roman"/>
          <w:kern w:val="0"/>
          <w:sz w:val="28"/>
          <w:szCs w:val="28"/>
        </w:rPr>
        <w:t>本标</w:t>
      </w:r>
      <w:r>
        <w:rPr>
          <w:rFonts w:hint="eastAsia" w:ascii="仿宋" w:hAnsi="仿宋" w:eastAsia="仿宋" w:cs="Times New Roman"/>
          <w:color w:val="auto"/>
          <w:kern w:val="0"/>
          <w:sz w:val="28"/>
          <w:szCs w:val="28"/>
        </w:rPr>
        <w:t>准由泸州市纳溪区农业农村局提出，向四川省</w:t>
      </w:r>
      <w:r>
        <w:rPr>
          <w:rFonts w:hint="eastAsia" w:ascii="仿宋" w:hAnsi="仿宋" w:eastAsia="仿宋" w:cs="Times New Roman"/>
          <w:color w:val="auto"/>
          <w:kern w:val="0"/>
          <w:sz w:val="28"/>
          <w:szCs w:val="28"/>
          <w:lang w:val="en-US" w:eastAsia="zh-CN"/>
        </w:rPr>
        <w:t>四川省品牌建设促进会</w:t>
      </w:r>
      <w:r>
        <w:rPr>
          <w:rFonts w:hint="eastAsia" w:ascii="仿宋" w:hAnsi="仿宋" w:eastAsia="仿宋" w:cs="Times New Roman"/>
          <w:color w:val="auto"/>
          <w:kern w:val="0"/>
          <w:sz w:val="28"/>
          <w:szCs w:val="28"/>
        </w:rPr>
        <w:t>申请团体标准立项，</w:t>
      </w:r>
      <w:r>
        <w:rPr>
          <w:rFonts w:hint="eastAsia" w:ascii="仿宋" w:hAnsi="仿宋" w:eastAsia="仿宋" w:cs="Times New Roman"/>
          <w:kern w:val="0"/>
          <w:sz w:val="28"/>
          <w:szCs w:val="28"/>
        </w:rPr>
        <w:t>项目名称为《</w:t>
      </w:r>
      <w:r>
        <w:rPr>
          <w:rFonts w:hint="eastAsia" w:ascii="仿宋" w:hAnsi="仿宋" w:eastAsia="仿宋" w:cs="Times New Roman"/>
          <w:kern w:val="0"/>
          <w:sz w:val="28"/>
          <w:szCs w:val="28"/>
          <w:lang w:eastAsia="zh-CN"/>
        </w:rPr>
        <w:t>抹茶</w:t>
      </w:r>
      <w:r>
        <w:rPr>
          <w:rFonts w:hint="eastAsia" w:ascii="仿宋" w:hAnsi="仿宋" w:eastAsia="仿宋" w:cs="Times New Roman"/>
          <w:kern w:val="0"/>
          <w:sz w:val="28"/>
          <w:szCs w:val="28"/>
        </w:rPr>
        <w:t>》，项目计划于</w:t>
      </w:r>
      <w:r>
        <w:rPr>
          <w:rFonts w:hint="eastAsia" w:ascii="仿宋" w:hAnsi="仿宋" w:eastAsia="仿宋" w:cs="Times New Roman"/>
          <w:color w:val="auto"/>
          <w:kern w:val="0"/>
          <w:sz w:val="28"/>
          <w:szCs w:val="28"/>
        </w:rPr>
        <w:t>2026年</w:t>
      </w:r>
      <w:r>
        <w:rPr>
          <w:rFonts w:hint="eastAsia" w:ascii="仿宋" w:hAnsi="仿宋" w:eastAsia="仿宋" w:cs="Times New Roman"/>
          <w:color w:val="auto"/>
          <w:kern w:val="0"/>
          <w:sz w:val="28"/>
          <w:szCs w:val="28"/>
          <w:lang w:val="en-US" w:eastAsia="zh-CN"/>
        </w:rPr>
        <w:t>底</w:t>
      </w:r>
      <w:r>
        <w:rPr>
          <w:rFonts w:hint="eastAsia" w:ascii="仿宋" w:hAnsi="仿宋" w:eastAsia="仿宋" w:cs="Times New Roman"/>
          <w:color w:val="auto"/>
          <w:kern w:val="0"/>
          <w:sz w:val="28"/>
          <w:szCs w:val="28"/>
        </w:rPr>
        <w:t>完成。202</w:t>
      </w:r>
      <w:r>
        <w:rPr>
          <w:rFonts w:hint="eastAsia" w:ascii="仿宋" w:hAnsi="仿宋" w:eastAsia="仿宋" w:cs="Times New Roman"/>
          <w:color w:val="auto"/>
          <w:kern w:val="0"/>
          <w:sz w:val="28"/>
          <w:szCs w:val="28"/>
          <w:lang w:val="en-US" w:eastAsia="zh-CN"/>
        </w:rPr>
        <w:t>6</w:t>
      </w:r>
      <w:r>
        <w:rPr>
          <w:rFonts w:hint="eastAsia" w:ascii="仿宋" w:hAnsi="仿宋" w:eastAsia="仿宋" w:cs="Times New Roman"/>
          <w:color w:val="auto"/>
          <w:kern w:val="0"/>
          <w:sz w:val="28"/>
          <w:szCs w:val="28"/>
        </w:rPr>
        <w:t>年</w:t>
      </w:r>
      <w:r>
        <w:rPr>
          <w:rFonts w:hint="eastAsia" w:ascii="仿宋" w:hAnsi="仿宋" w:eastAsia="仿宋" w:cs="Times New Roman"/>
          <w:color w:val="auto"/>
          <w:kern w:val="0"/>
          <w:sz w:val="28"/>
          <w:szCs w:val="28"/>
          <w:lang w:val="en-US" w:eastAsia="zh-CN"/>
        </w:rPr>
        <w:t>7</w:t>
      </w:r>
      <w:r>
        <w:rPr>
          <w:rFonts w:hint="eastAsia" w:ascii="仿宋" w:hAnsi="仿宋" w:eastAsia="仿宋" w:cs="Times New Roman"/>
          <w:color w:val="auto"/>
          <w:kern w:val="0"/>
          <w:sz w:val="28"/>
          <w:szCs w:val="28"/>
        </w:rPr>
        <w:t>月，</w:t>
      </w:r>
      <w:r>
        <w:rPr>
          <w:rFonts w:hint="eastAsia" w:ascii="仿宋" w:hAnsi="仿宋" w:eastAsia="仿宋" w:cs="Times New Roman"/>
          <w:color w:val="auto"/>
          <w:kern w:val="0"/>
          <w:sz w:val="28"/>
          <w:szCs w:val="28"/>
          <w:lang w:eastAsia="zh-CN"/>
        </w:rPr>
        <w:t>四川省品牌建设促进会</w:t>
      </w:r>
      <w:r>
        <w:rPr>
          <w:rFonts w:hint="eastAsia" w:ascii="仿宋" w:hAnsi="仿宋" w:eastAsia="仿宋" w:cs="Times New Roman"/>
          <w:color w:val="auto"/>
          <w:kern w:val="0"/>
          <w:sz w:val="28"/>
          <w:szCs w:val="28"/>
        </w:rPr>
        <w:t>下发《关于&lt;</w:t>
      </w:r>
      <w:r>
        <w:rPr>
          <w:rFonts w:hint="eastAsia" w:ascii="仿宋" w:hAnsi="仿宋" w:eastAsia="仿宋" w:cs="Times New Roman"/>
          <w:color w:val="auto"/>
          <w:kern w:val="0"/>
          <w:sz w:val="28"/>
          <w:szCs w:val="28"/>
          <w:lang w:eastAsia="zh-CN"/>
        </w:rPr>
        <w:t>抹茶</w:t>
      </w:r>
      <w:r>
        <w:rPr>
          <w:rFonts w:hint="eastAsia" w:ascii="仿宋" w:hAnsi="仿宋" w:eastAsia="仿宋" w:cs="Times New Roman"/>
          <w:color w:val="auto"/>
          <w:kern w:val="0"/>
          <w:sz w:val="28"/>
          <w:szCs w:val="28"/>
        </w:rPr>
        <w:t>&gt;团体标准立项的</w:t>
      </w:r>
      <w:r>
        <w:rPr>
          <w:rFonts w:hint="eastAsia" w:ascii="仿宋" w:hAnsi="仿宋" w:eastAsia="仿宋" w:cs="Times New Roman"/>
          <w:color w:val="auto"/>
          <w:kern w:val="0"/>
          <w:sz w:val="28"/>
          <w:szCs w:val="28"/>
          <w:lang w:val="en-US" w:eastAsia="zh-CN"/>
        </w:rPr>
        <w:t>公告</w:t>
      </w:r>
      <w:r>
        <w:rPr>
          <w:rFonts w:hint="eastAsia" w:ascii="仿宋" w:hAnsi="仿宋" w:eastAsia="仿宋" w:cs="Times New Roman"/>
          <w:color w:val="auto"/>
          <w:kern w:val="0"/>
          <w:sz w:val="28"/>
          <w:szCs w:val="28"/>
        </w:rPr>
        <w:t>》</w:t>
      </w:r>
      <w:r>
        <w:rPr>
          <w:rFonts w:hint="eastAsia" w:ascii="仿宋" w:hAnsi="仿宋" w:eastAsia="仿宋" w:cs="Times New Roman"/>
          <w:color w:val="auto"/>
          <w:kern w:val="0"/>
          <w:sz w:val="28"/>
          <w:szCs w:val="28"/>
          <w:lang w:val="en-US" w:eastAsia="zh-CN"/>
        </w:rPr>
        <w:t>，批准了《抹茶》的团体标准项目制定计划。</w:t>
      </w:r>
      <w:r>
        <w:rPr>
          <w:rFonts w:hint="eastAsia" w:ascii="仿宋" w:hAnsi="仿宋" w:eastAsia="仿宋" w:cs="Times New Roman"/>
          <w:kern w:val="0"/>
          <w:sz w:val="28"/>
          <w:szCs w:val="28"/>
          <w:lang w:val="en-US" w:eastAsia="zh-CN"/>
        </w:rPr>
        <w:t>项目由泸州市纳溪区农业农村局、泸州市纳溪区茶叶协会、四川省泸州市特早茶业集团有限公司、泸州云蔚抹茶茶业有限责任公司、四川悟林茶业有限公司、中国测试技术研究院生物研究所等单位共同起草。</w:t>
      </w:r>
    </w:p>
    <w:p w14:paraId="0895EF53">
      <w:pPr>
        <w:pStyle w:val="2"/>
        <w:spacing w:before="0" w:after="0" w:line="594" w:lineRule="exact"/>
        <w:rPr>
          <w:rFonts w:ascii="黑体" w:eastAsia="黑体"/>
          <w:b w:val="0"/>
          <w:sz w:val="32"/>
          <w:szCs w:val="32"/>
        </w:rPr>
      </w:pPr>
      <w:r>
        <w:rPr>
          <w:rFonts w:hint="eastAsia" w:ascii="黑体" w:eastAsia="黑体"/>
          <w:b w:val="0"/>
          <w:color w:val="FF0000"/>
          <w:sz w:val="32"/>
          <w:szCs w:val="32"/>
        </w:rPr>
        <w:t xml:space="preserve"> </w:t>
      </w:r>
      <w:r>
        <w:rPr>
          <w:rFonts w:hint="eastAsia" w:ascii="黑体" w:eastAsia="黑体"/>
          <w:b w:val="0"/>
          <w:sz w:val="32"/>
          <w:szCs w:val="32"/>
        </w:rPr>
        <w:t xml:space="preserve">  </w:t>
      </w:r>
      <w:bookmarkStart w:id="2" w:name="_Toc1563847164"/>
      <w:r>
        <w:rPr>
          <w:rFonts w:hint="eastAsia" w:ascii="黑体" w:eastAsia="黑体"/>
          <w:b w:val="0"/>
          <w:sz w:val="32"/>
          <w:szCs w:val="32"/>
        </w:rPr>
        <w:t>三、工作简况</w:t>
      </w:r>
      <w:bookmarkEnd w:id="2"/>
    </w:p>
    <w:p w14:paraId="530BCFC4">
      <w:pPr>
        <w:pStyle w:val="3"/>
        <w:spacing w:before="0" w:after="0" w:line="594" w:lineRule="exact"/>
        <w:rPr>
          <w:rFonts w:ascii="楷体_GB2312" w:eastAsia="楷体_GB2312"/>
          <w:b w:val="0"/>
        </w:rPr>
      </w:pPr>
      <w:r>
        <w:rPr>
          <w:rFonts w:hint="eastAsia" w:ascii="楷体_GB2312" w:eastAsia="楷体_GB2312"/>
          <w:b w:val="0"/>
        </w:rPr>
        <w:t xml:space="preserve">   </w:t>
      </w:r>
      <w:bookmarkStart w:id="3" w:name="_Toc1190540218"/>
      <w:r>
        <w:rPr>
          <w:rFonts w:hint="eastAsia" w:ascii="楷体_GB2312" w:eastAsia="楷体_GB2312"/>
          <w:b w:val="0"/>
        </w:rPr>
        <w:t>（一）成立标准起草组</w:t>
      </w:r>
      <w:bookmarkEnd w:id="3"/>
    </w:p>
    <w:p w14:paraId="27CD09C0">
      <w:r>
        <w:rPr>
          <w:rFonts w:hint="eastAsia" w:ascii="仿宋" w:hAnsi="仿宋" w:eastAsia="仿宋" w:cs="Times New Roman"/>
          <w:kern w:val="0"/>
          <w:sz w:val="28"/>
          <w:szCs w:val="28"/>
        </w:rPr>
        <w:t xml:space="preserve">  </w:t>
      </w:r>
      <w:r>
        <w:rPr>
          <w:rFonts w:hint="eastAsia" w:ascii="仿宋" w:hAnsi="仿宋" w:eastAsia="仿宋" w:cs="Times New Roman"/>
          <w:color w:val="FF0000"/>
          <w:kern w:val="0"/>
          <w:sz w:val="28"/>
          <w:szCs w:val="28"/>
        </w:rPr>
        <w:t xml:space="preserve">  </w:t>
      </w:r>
      <w:r>
        <w:rPr>
          <w:rFonts w:hint="eastAsia" w:ascii="仿宋" w:hAnsi="仿宋" w:eastAsia="仿宋" w:cs="Times New Roman"/>
          <w:color w:val="auto"/>
          <w:kern w:val="0"/>
          <w:sz w:val="28"/>
          <w:szCs w:val="28"/>
        </w:rPr>
        <w:t>202</w:t>
      </w:r>
      <w:r>
        <w:rPr>
          <w:rFonts w:hint="eastAsia" w:ascii="仿宋" w:hAnsi="仿宋" w:eastAsia="仿宋" w:cs="Times New Roman"/>
          <w:color w:val="auto"/>
          <w:kern w:val="0"/>
          <w:sz w:val="28"/>
          <w:szCs w:val="28"/>
          <w:lang w:val="en-US" w:eastAsia="zh-CN"/>
        </w:rPr>
        <w:t>6</w:t>
      </w:r>
      <w:r>
        <w:rPr>
          <w:rFonts w:hint="eastAsia" w:ascii="仿宋" w:hAnsi="仿宋" w:eastAsia="仿宋" w:cs="Times New Roman"/>
          <w:color w:val="auto"/>
          <w:kern w:val="0"/>
          <w:sz w:val="28"/>
          <w:szCs w:val="28"/>
        </w:rPr>
        <w:t>年</w:t>
      </w:r>
      <w:r>
        <w:rPr>
          <w:rFonts w:hint="eastAsia" w:ascii="仿宋" w:hAnsi="仿宋" w:eastAsia="仿宋" w:cs="Times New Roman"/>
          <w:color w:val="auto"/>
          <w:kern w:val="0"/>
          <w:sz w:val="28"/>
          <w:szCs w:val="28"/>
          <w:lang w:val="en-US" w:eastAsia="zh-CN"/>
        </w:rPr>
        <w:t>7</w:t>
      </w:r>
      <w:r>
        <w:rPr>
          <w:rFonts w:hint="eastAsia" w:ascii="仿宋" w:hAnsi="仿宋" w:eastAsia="仿宋" w:cs="Times New Roman"/>
          <w:color w:val="auto"/>
          <w:kern w:val="0"/>
          <w:sz w:val="28"/>
          <w:szCs w:val="28"/>
        </w:rPr>
        <w:t>月</w:t>
      </w:r>
      <w:r>
        <w:rPr>
          <w:rFonts w:hint="eastAsia" w:ascii="仿宋" w:hAnsi="仿宋" w:eastAsia="仿宋" w:cs="Times New Roman"/>
          <w:kern w:val="0"/>
          <w:sz w:val="28"/>
          <w:szCs w:val="28"/>
        </w:rPr>
        <w:t>，</w:t>
      </w:r>
      <w:r>
        <w:rPr>
          <w:rFonts w:hint="eastAsia" w:ascii="仿宋" w:hAnsi="仿宋" w:eastAsia="仿宋" w:cs="Times New Roman"/>
          <w:kern w:val="0"/>
          <w:sz w:val="28"/>
          <w:szCs w:val="28"/>
          <w:lang w:val="en-US" w:eastAsia="zh-CN"/>
        </w:rPr>
        <w:t>泸州市纳溪区农业农村局、泸州市纳溪区茶叶协会、四川省泸州市特早茶业集团有限公司、泸州云蔚抹茶茶业有限责任公司、四川悟林茶业有限公司、中国测试技术研究院生物研究所</w:t>
      </w:r>
      <w:r>
        <w:rPr>
          <w:rFonts w:hint="eastAsia" w:ascii="仿宋" w:hAnsi="仿宋" w:eastAsia="仿宋" w:cs="Times New Roman"/>
          <w:kern w:val="0"/>
          <w:sz w:val="28"/>
          <w:szCs w:val="28"/>
        </w:rPr>
        <w:t>等单位联合成立标准起草组，明确总体思路和工作目标，明确标准编制工作时间进度，落实各单位、人员的具体任务分工，责任到人。</w:t>
      </w:r>
    </w:p>
    <w:p w14:paraId="6599037C">
      <w:pPr>
        <w:pStyle w:val="3"/>
        <w:spacing w:before="0" w:after="0" w:line="594" w:lineRule="exact"/>
        <w:rPr>
          <w:rFonts w:ascii="楷体_GB2312" w:eastAsia="楷体_GB2312"/>
          <w:b w:val="0"/>
        </w:rPr>
      </w:pPr>
      <w:r>
        <w:rPr>
          <w:rFonts w:hint="eastAsia" w:ascii="楷体_GB2312" w:eastAsia="楷体_GB2312"/>
          <w:b w:val="0"/>
          <w:color w:val="FF0000"/>
        </w:rPr>
        <w:t xml:space="preserve">   </w:t>
      </w:r>
      <w:bookmarkStart w:id="4" w:name="_Toc317494615"/>
      <w:r>
        <w:rPr>
          <w:rFonts w:hint="eastAsia" w:ascii="楷体_GB2312" w:eastAsia="楷体_GB2312"/>
          <w:b w:val="0"/>
        </w:rPr>
        <w:t>（二）开展调研和资料收集</w:t>
      </w:r>
      <w:bookmarkEnd w:id="4"/>
    </w:p>
    <w:p w14:paraId="0EBC1E25">
      <w:pPr>
        <w:rPr>
          <w:rFonts w:hint="eastAsia" w:ascii="仿宋" w:hAnsi="仿宋" w:eastAsia="仿宋" w:cs="Times New Roman"/>
          <w:kern w:val="0"/>
          <w:sz w:val="28"/>
          <w:szCs w:val="28"/>
        </w:rPr>
      </w:pPr>
      <w:r>
        <w:rPr>
          <w:rFonts w:hint="eastAsia" w:ascii="仿宋" w:hAnsi="仿宋" w:eastAsia="仿宋" w:cs="Times New Roman"/>
          <w:kern w:val="0"/>
          <w:sz w:val="28"/>
          <w:szCs w:val="28"/>
        </w:rPr>
        <w:t xml:space="preserve">    202</w:t>
      </w:r>
      <w:r>
        <w:rPr>
          <w:rFonts w:hint="eastAsia" w:ascii="仿宋" w:hAnsi="仿宋" w:eastAsia="仿宋" w:cs="Times New Roman"/>
          <w:kern w:val="0"/>
          <w:sz w:val="28"/>
          <w:szCs w:val="28"/>
          <w:lang w:val="en-US" w:eastAsia="zh-CN"/>
        </w:rPr>
        <w:t>6</w:t>
      </w:r>
      <w:r>
        <w:rPr>
          <w:rFonts w:hint="eastAsia" w:ascii="仿宋" w:hAnsi="仿宋" w:eastAsia="仿宋" w:cs="Times New Roman"/>
          <w:kern w:val="0"/>
          <w:sz w:val="28"/>
          <w:szCs w:val="28"/>
        </w:rPr>
        <w:t>年</w:t>
      </w:r>
      <w:r>
        <w:rPr>
          <w:rFonts w:hint="eastAsia" w:ascii="仿宋" w:hAnsi="仿宋" w:eastAsia="仿宋" w:cs="Times New Roman"/>
          <w:color w:val="auto"/>
          <w:kern w:val="0"/>
          <w:sz w:val="28"/>
          <w:szCs w:val="28"/>
          <w:lang w:val="en-US" w:eastAsia="zh-CN"/>
        </w:rPr>
        <w:t>7月</w:t>
      </w:r>
      <w:r>
        <w:rPr>
          <w:rFonts w:hint="eastAsia" w:ascii="仿宋" w:hAnsi="仿宋" w:eastAsia="仿宋" w:cs="Times New Roman"/>
          <w:kern w:val="0"/>
          <w:sz w:val="28"/>
          <w:szCs w:val="28"/>
        </w:rPr>
        <w:t>，为保证本团体标准编制的科学性、真实性、可行性，标准起草组前往</w:t>
      </w:r>
      <w:r>
        <w:rPr>
          <w:rFonts w:hint="eastAsia" w:ascii="仿宋" w:hAnsi="仿宋" w:eastAsia="仿宋" w:cs="Times New Roman"/>
          <w:kern w:val="0"/>
          <w:sz w:val="28"/>
          <w:szCs w:val="28"/>
          <w:lang w:val="en-US" w:eastAsia="zh-CN"/>
        </w:rPr>
        <w:t>泸州市纳溪区</w:t>
      </w:r>
      <w:r>
        <w:rPr>
          <w:rFonts w:hint="eastAsia" w:ascii="仿宋" w:hAnsi="仿宋" w:eastAsia="仿宋" w:cs="Times New Roman"/>
          <w:kern w:val="0"/>
          <w:sz w:val="28"/>
          <w:szCs w:val="28"/>
        </w:rPr>
        <w:t>开展实地调研，了解掌握</w:t>
      </w:r>
      <w:r>
        <w:rPr>
          <w:rFonts w:hint="eastAsia" w:ascii="仿宋" w:hAnsi="仿宋" w:eastAsia="仿宋" w:cs="Times New Roman"/>
          <w:kern w:val="0"/>
          <w:sz w:val="28"/>
          <w:szCs w:val="28"/>
          <w:lang w:val="en-US" w:eastAsia="zh-CN"/>
        </w:rPr>
        <w:t>纳溪抹茶的感官指标、理化指标、安全指标及包装运输存储等，在此基础上，线上线下广泛检索、收集、整理有关抹茶感官指标、理化指标、安全指标的资料，为下一步团体标准编制做好筹备工作</w:t>
      </w:r>
      <w:r>
        <w:rPr>
          <w:rFonts w:hint="eastAsia" w:ascii="仿宋" w:hAnsi="仿宋" w:eastAsia="仿宋" w:cs="Times New Roman"/>
          <w:kern w:val="0"/>
          <w:sz w:val="28"/>
          <w:szCs w:val="28"/>
        </w:rPr>
        <w:t>。</w:t>
      </w:r>
    </w:p>
    <w:p w14:paraId="6ACE79B0">
      <w:pPr>
        <w:pStyle w:val="3"/>
        <w:spacing w:before="0" w:after="0" w:line="594" w:lineRule="exact"/>
        <w:rPr>
          <w:rFonts w:ascii="楷体_GB2312" w:eastAsia="楷体_GB2312"/>
          <w:b w:val="0"/>
        </w:rPr>
      </w:pPr>
      <w:r>
        <w:rPr>
          <w:rFonts w:hint="eastAsia" w:ascii="楷体_GB2312" w:eastAsia="楷体_GB2312"/>
          <w:b w:val="0"/>
        </w:rPr>
        <w:t xml:space="preserve">   </w:t>
      </w:r>
      <w:bookmarkStart w:id="5" w:name="_Toc207502951"/>
      <w:r>
        <w:rPr>
          <w:rFonts w:hint="eastAsia" w:ascii="楷体_GB2312" w:eastAsia="楷体_GB2312"/>
          <w:b w:val="0"/>
        </w:rPr>
        <w:t>（三）标准起草</w:t>
      </w:r>
      <w:bookmarkEnd w:id="5"/>
    </w:p>
    <w:p w14:paraId="455C7CB3">
      <w:pPr>
        <w:ind w:firstLine="560"/>
        <w:rPr>
          <w:rFonts w:hint="eastAsia" w:ascii="仿宋" w:hAnsi="仿宋" w:eastAsia="仿宋" w:cs="Times New Roman"/>
          <w:color w:val="000000"/>
          <w:kern w:val="0"/>
          <w:sz w:val="28"/>
          <w:szCs w:val="28"/>
        </w:rPr>
      </w:pPr>
      <w:r>
        <w:rPr>
          <w:rFonts w:hint="eastAsia" w:ascii="仿宋" w:hAnsi="仿宋" w:eastAsia="仿宋" w:cs="Times New Roman"/>
          <w:kern w:val="0"/>
          <w:sz w:val="28"/>
          <w:szCs w:val="28"/>
        </w:rPr>
        <w:t>202</w:t>
      </w:r>
      <w:r>
        <w:rPr>
          <w:rFonts w:hint="eastAsia" w:ascii="仿宋" w:hAnsi="仿宋" w:eastAsia="仿宋" w:cs="Times New Roman"/>
          <w:color w:val="auto"/>
          <w:kern w:val="0"/>
          <w:sz w:val="28"/>
          <w:szCs w:val="28"/>
          <w:lang w:val="en-US" w:eastAsia="zh-CN"/>
        </w:rPr>
        <w:t>6</w:t>
      </w:r>
      <w:r>
        <w:rPr>
          <w:rFonts w:hint="eastAsia" w:ascii="仿宋" w:hAnsi="仿宋" w:eastAsia="仿宋" w:cs="Times New Roman"/>
          <w:color w:val="auto"/>
          <w:kern w:val="0"/>
          <w:sz w:val="28"/>
          <w:szCs w:val="28"/>
        </w:rPr>
        <w:t>年</w:t>
      </w:r>
      <w:bookmarkStart w:id="24" w:name="_GoBack"/>
      <w:r>
        <w:rPr>
          <w:rFonts w:hint="eastAsia" w:ascii="仿宋" w:hAnsi="仿宋" w:eastAsia="仿宋" w:cs="Times New Roman"/>
          <w:color w:val="auto"/>
          <w:kern w:val="0"/>
          <w:sz w:val="28"/>
          <w:szCs w:val="28"/>
          <w:lang w:val="en-US" w:eastAsia="zh-CN"/>
        </w:rPr>
        <w:t>8</w:t>
      </w:r>
      <w:r>
        <w:rPr>
          <w:rFonts w:hint="eastAsia" w:ascii="仿宋" w:hAnsi="仿宋" w:eastAsia="仿宋" w:cs="Times New Roman"/>
          <w:color w:val="auto"/>
          <w:kern w:val="0"/>
          <w:sz w:val="28"/>
          <w:szCs w:val="28"/>
        </w:rPr>
        <w:t>月</w:t>
      </w:r>
      <w:bookmarkEnd w:id="24"/>
      <w:r>
        <w:rPr>
          <w:rFonts w:hint="eastAsia" w:ascii="仿宋" w:hAnsi="仿宋" w:eastAsia="仿宋" w:cs="Times New Roman"/>
          <w:color w:val="auto"/>
          <w:kern w:val="0"/>
          <w:sz w:val="28"/>
          <w:szCs w:val="28"/>
        </w:rPr>
        <w:t>，标准</w:t>
      </w:r>
      <w:r>
        <w:rPr>
          <w:rFonts w:hint="eastAsia" w:ascii="仿宋" w:hAnsi="仿宋" w:eastAsia="仿宋" w:cs="Times New Roman"/>
          <w:kern w:val="0"/>
          <w:sz w:val="28"/>
          <w:szCs w:val="28"/>
        </w:rPr>
        <w:t>起草组对前期工作资料进行整理、分析、总结，确定了标准编制的原则、框架结构、主要内容，形成了《</w:t>
      </w:r>
      <w:r>
        <w:rPr>
          <w:rFonts w:hint="eastAsia" w:ascii="仿宋" w:hAnsi="仿宋" w:eastAsia="仿宋" w:cs="Times New Roman"/>
          <w:kern w:val="0"/>
          <w:sz w:val="28"/>
          <w:szCs w:val="28"/>
          <w:lang w:eastAsia="zh-CN"/>
        </w:rPr>
        <w:t>抹茶</w:t>
      </w:r>
      <w:r>
        <w:rPr>
          <w:rFonts w:hint="eastAsia" w:ascii="仿宋" w:hAnsi="仿宋" w:eastAsia="仿宋" w:cs="Times New Roman"/>
          <w:kern w:val="0"/>
          <w:sz w:val="28"/>
          <w:szCs w:val="28"/>
        </w:rPr>
        <w:t>》团体标准工作组讨论稿。</w:t>
      </w:r>
      <w:r>
        <w:rPr>
          <w:rFonts w:hint="eastAsia" w:ascii="仿宋" w:hAnsi="仿宋" w:eastAsia="仿宋" w:cs="Times New Roman"/>
          <w:color w:val="000000"/>
          <w:kern w:val="0"/>
          <w:sz w:val="28"/>
          <w:szCs w:val="28"/>
        </w:rPr>
        <w:t>后经多次内部研究讨论，对标准讨论稿进行了修改完善，于</w:t>
      </w:r>
      <w:r>
        <w:rPr>
          <w:rFonts w:hint="eastAsia" w:ascii="仿宋" w:hAnsi="仿宋" w:eastAsia="仿宋" w:cs="Times New Roman"/>
          <w:color w:val="000000"/>
          <w:kern w:val="0"/>
          <w:sz w:val="28"/>
          <w:szCs w:val="28"/>
          <w:lang w:val="en-US" w:eastAsia="zh-CN"/>
        </w:rPr>
        <w:t>8</w:t>
      </w:r>
      <w:r>
        <w:rPr>
          <w:rFonts w:hint="eastAsia" w:ascii="仿宋" w:hAnsi="仿宋" w:eastAsia="仿宋" w:cs="Times New Roman"/>
          <w:color w:val="000000"/>
          <w:kern w:val="0"/>
          <w:sz w:val="28"/>
          <w:szCs w:val="28"/>
        </w:rPr>
        <w:t>月形成了标准征求意见稿。</w:t>
      </w:r>
    </w:p>
    <w:p w14:paraId="46CEA4BB">
      <w:pPr>
        <w:pStyle w:val="3"/>
        <w:spacing w:before="0" w:after="0" w:line="594" w:lineRule="exact"/>
        <w:rPr>
          <w:rFonts w:ascii="楷体_GB2312" w:eastAsia="楷体_GB2312"/>
          <w:b w:val="0"/>
        </w:rPr>
      </w:pPr>
      <w:r>
        <w:rPr>
          <w:rFonts w:hint="eastAsia" w:ascii="楷体_GB2312" w:eastAsia="楷体_GB2312"/>
          <w:b w:val="0"/>
        </w:rPr>
        <w:t xml:space="preserve"> </w:t>
      </w:r>
      <w:bookmarkStart w:id="6" w:name="_Toc215823439"/>
      <w:r>
        <w:rPr>
          <w:rFonts w:hint="eastAsia" w:ascii="楷体_GB2312" w:eastAsia="楷体_GB2312"/>
          <w:b w:val="0"/>
          <w:lang w:val="en-US" w:eastAsia="zh-CN"/>
        </w:rPr>
        <w:t xml:space="preserve"> </w:t>
      </w:r>
      <w:bookmarkStart w:id="7" w:name="_Toc492948713"/>
      <w:r>
        <w:rPr>
          <w:rFonts w:hint="eastAsia" w:ascii="楷体_GB2312" w:eastAsia="楷体_GB2312"/>
          <w:b w:val="0"/>
        </w:rPr>
        <w:t>（四）标准意见征求</w:t>
      </w:r>
      <w:bookmarkEnd w:id="6"/>
      <w:bookmarkEnd w:id="7"/>
    </w:p>
    <w:p w14:paraId="75072B37">
      <w:r>
        <w:rPr>
          <w:rFonts w:hint="eastAsia" w:ascii="仿宋" w:hAnsi="仿宋" w:eastAsia="仿宋" w:cs="Times New Roman"/>
          <w:color w:val="000000"/>
          <w:kern w:val="0"/>
          <w:sz w:val="28"/>
          <w:szCs w:val="28"/>
        </w:rPr>
        <w:t xml:space="preserve">  </w:t>
      </w:r>
      <w:r>
        <w:rPr>
          <w:rFonts w:hint="eastAsia" w:ascii="仿宋" w:hAnsi="仿宋" w:eastAsia="仿宋" w:cs="Times New Roman"/>
          <w:color w:val="auto"/>
          <w:kern w:val="0"/>
          <w:sz w:val="28"/>
          <w:szCs w:val="28"/>
        </w:rPr>
        <w:t xml:space="preserve">  202</w:t>
      </w:r>
      <w:r>
        <w:rPr>
          <w:rFonts w:hint="eastAsia" w:ascii="仿宋" w:hAnsi="仿宋" w:eastAsia="仿宋" w:cs="Times New Roman"/>
          <w:color w:val="auto"/>
          <w:kern w:val="0"/>
          <w:sz w:val="28"/>
          <w:szCs w:val="28"/>
          <w:lang w:val="en-US" w:eastAsia="zh-CN"/>
        </w:rPr>
        <w:t>6</w:t>
      </w:r>
      <w:r>
        <w:rPr>
          <w:rFonts w:hint="eastAsia" w:ascii="仿宋" w:hAnsi="仿宋" w:eastAsia="仿宋" w:cs="Times New Roman"/>
          <w:color w:val="auto"/>
          <w:kern w:val="0"/>
          <w:sz w:val="28"/>
          <w:szCs w:val="28"/>
        </w:rPr>
        <w:t>年</w:t>
      </w:r>
      <w:r>
        <w:rPr>
          <w:rFonts w:hint="eastAsia" w:ascii="仿宋" w:hAnsi="仿宋" w:eastAsia="仿宋" w:cs="Times New Roman"/>
          <w:color w:val="auto"/>
          <w:kern w:val="0"/>
          <w:sz w:val="28"/>
          <w:szCs w:val="28"/>
          <w:lang w:val="en-US" w:eastAsia="zh-CN"/>
        </w:rPr>
        <w:t>8</w:t>
      </w:r>
      <w:r>
        <w:rPr>
          <w:rFonts w:hint="eastAsia" w:ascii="仿宋" w:hAnsi="仿宋" w:eastAsia="仿宋" w:cs="Times New Roman"/>
          <w:color w:val="auto"/>
          <w:kern w:val="0"/>
          <w:sz w:val="28"/>
          <w:szCs w:val="28"/>
        </w:rPr>
        <w:t>月，</w:t>
      </w:r>
      <w:r>
        <w:rPr>
          <w:rFonts w:hint="eastAsia" w:ascii="仿宋" w:hAnsi="仿宋" w:eastAsia="仿宋" w:cs="Times New Roman"/>
          <w:color w:val="000000"/>
          <w:kern w:val="0"/>
          <w:sz w:val="28"/>
          <w:szCs w:val="28"/>
        </w:rPr>
        <w:t>通过在</w:t>
      </w:r>
      <w:r>
        <w:rPr>
          <w:rFonts w:hint="eastAsia" w:ascii="仿宋" w:hAnsi="仿宋" w:eastAsia="仿宋" w:cs="Times New Roman"/>
          <w:color w:val="000000"/>
          <w:kern w:val="0"/>
          <w:sz w:val="28"/>
          <w:szCs w:val="28"/>
          <w:lang w:val="en-US" w:eastAsia="zh-CN"/>
        </w:rPr>
        <w:t>四川省</w:t>
      </w:r>
      <w:r>
        <w:rPr>
          <w:rFonts w:hint="eastAsia" w:ascii="仿宋" w:hAnsi="仿宋" w:eastAsia="仿宋" w:cs="Times New Roman"/>
          <w:color w:val="000000"/>
          <w:kern w:val="0"/>
          <w:sz w:val="28"/>
          <w:szCs w:val="28"/>
        </w:rPr>
        <w:t>团体标准信息平台和</w:t>
      </w:r>
      <w:r>
        <w:rPr>
          <w:rFonts w:hint="eastAsia" w:ascii="仿宋" w:hAnsi="仿宋" w:eastAsia="仿宋" w:cs="Times New Roman"/>
          <w:color w:val="000000"/>
          <w:kern w:val="0"/>
          <w:sz w:val="28"/>
          <w:szCs w:val="28"/>
          <w:lang w:eastAsia="zh-CN"/>
        </w:rPr>
        <w:t>四川省品牌建设促进会</w:t>
      </w:r>
      <w:r>
        <w:rPr>
          <w:rFonts w:hint="eastAsia" w:ascii="仿宋" w:hAnsi="仿宋" w:eastAsia="仿宋" w:cs="Times New Roman"/>
          <w:color w:val="000000"/>
          <w:kern w:val="0"/>
          <w:sz w:val="28"/>
          <w:szCs w:val="28"/>
        </w:rPr>
        <w:t>网站上挂网面向社会公开征求意见以及邀请行业专家进一步座谈的方式进行标准意见征求。</w:t>
      </w:r>
    </w:p>
    <w:p w14:paraId="14539487">
      <w:pPr>
        <w:rPr>
          <w:rFonts w:ascii="黑体" w:eastAsia="黑体"/>
          <w:b w:val="0"/>
          <w:sz w:val="32"/>
          <w:szCs w:val="32"/>
        </w:rPr>
      </w:pPr>
      <w:r>
        <w:rPr>
          <w:rFonts w:hint="eastAsia" w:ascii="仿宋" w:hAnsi="仿宋" w:eastAsia="仿宋" w:cs="Times New Roman"/>
          <w:color w:val="000000"/>
          <w:kern w:val="0"/>
          <w:sz w:val="28"/>
          <w:szCs w:val="28"/>
        </w:rPr>
        <w:t xml:space="preserve">   </w:t>
      </w:r>
      <w:r>
        <w:rPr>
          <w:rFonts w:hint="eastAsia" w:ascii="黑体" w:eastAsia="黑体"/>
          <w:b w:val="0"/>
          <w:sz w:val="32"/>
          <w:szCs w:val="32"/>
        </w:rPr>
        <w:t>四、编制原则和依据</w:t>
      </w:r>
    </w:p>
    <w:p w14:paraId="0F6B6534">
      <w:pPr>
        <w:pStyle w:val="3"/>
        <w:spacing w:before="0" w:after="0" w:line="594" w:lineRule="exact"/>
        <w:rPr>
          <w:rFonts w:ascii="楷体_GB2312" w:eastAsia="楷体_GB2312"/>
          <w:b w:val="0"/>
        </w:rPr>
      </w:pPr>
      <w:r>
        <w:rPr>
          <w:rFonts w:hint="eastAsia" w:ascii="楷体_GB2312" w:eastAsia="楷体_GB2312"/>
          <w:b w:val="0"/>
        </w:rPr>
        <w:t xml:space="preserve">   </w:t>
      </w:r>
      <w:bookmarkStart w:id="8" w:name="_Toc925565073"/>
      <w:r>
        <w:rPr>
          <w:rFonts w:hint="eastAsia" w:ascii="楷体_GB2312" w:eastAsia="楷体_GB2312"/>
          <w:b w:val="0"/>
        </w:rPr>
        <w:t>（一）标准编制原则</w:t>
      </w:r>
      <w:bookmarkEnd w:id="8"/>
    </w:p>
    <w:p w14:paraId="7B163C4A">
      <w:pPr>
        <w:rPr>
          <w:rFonts w:hint="eastAsia" w:ascii="仿宋" w:hAnsi="仿宋" w:eastAsia="仿宋" w:cs="Times New Roman"/>
          <w:color w:val="000000"/>
          <w:kern w:val="0"/>
          <w:sz w:val="28"/>
          <w:szCs w:val="28"/>
        </w:rPr>
      </w:pPr>
      <w:r>
        <w:rPr>
          <w:rFonts w:hint="eastAsia"/>
        </w:rPr>
        <w:t xml:space="preserve">     </w:t>
      </w:r>
      <w:r>
        <w:rPr>
          <w:rFonts w:hint="eastAsia" w:ascii="仿宋" w:hAnsi="仿宋" w:eastAsia="仿宋" w:cs="Times New Roman"/>
          <w:color w:val="000000"/>
          <w:kern w:val="0"/>
          <w:sz w:val="28"/>
          <w:szCs w:val="28"/>
        </w:rPr>
        <w:t xml:space="preserve"> 本标准的编制工作遵循“统一性、协调性、适用性、一致性、规范性”的原则，充分体现</w:t>
      </w:r>
      <w:r>
        <w:rPr>
          <w:rFonts w:hint="eastAsia" w:ascii="仿宋" w:hAnsi="仿宋" w:eastAsia="仿宋" w:cs="Times New Roman"/>
          <w:color w:val="000000"/>
          <w:kern w:val="0"/>
          <w:sz w:val="28"/>
          <w:szCs w:val="28"/>
          <w:lang w:eastAsia="zh-CN"/>
        </w:rPr>
        <w:t>标准的</w:t>
      </w:r>
      <w:r>
        <w:rPr>
          <w:rFonts w:hint="eastAsia" w:ascii="仿宋" w:hAnsi="仿宋" w:eastAsia="仿宋" w:cs="Times New Roman"/>
          <w:color w:val="000000"/>
          <w:kern w:val="0"/>
          <w:sz w:val="28"/>
          <w:szCs w:val="28"/>
        </w:rPr>
        <w:t xml:space="preserve">先进性按照GB/T 1.1-2020给出的规则编写。  </w:t>
      </w:r>
    </w:p>
    <w:p w14:paraId="64BB8194">
      <w:pPr>
        <w:rPr>
          <w:rFonts w:ascii="仿宋" w:hAnsi="仿宋" w:eastAsia="仿宋" w:cs="Times New Roman"/>
          <w:color w:val="000000"/>
          <w:kern w:val="0"/>
          <w:sz w:val="28"/>
          <w:szCs w:val="28"/>
        </w:rPr>
      </w:pPr>
      <w:r>
        <w:rPr>
          <w:rFonts w:hint="eastAsia" w:ascii="仿宋" w:hAnsi="仿宋" w:eastAsia="仿宋" w:cs="Times New Roman"/>
          <w:color w:val="000000"/>
          <w:kern w:val="0"/>
          <w:sz w:val="28"/>
          <w:szCs w:val="28"/>
        </w:rPr>
        <w:t xml:space="preserve">    1.统一性。本标准严格按照GB/T 1.1-2020《标准化工作导则 第1部分：标准化文件的结构和起草规则》和</w:t>
      </w:r>
      <w:r>
        <w:rPr>
          <w:rFonts w:hint="eastAsia" w:ascii="仿宋" w:hAnsi="仿宋" w:eastAsia="仿宋"/>
          <w:color w:val="000000"/>
          <w:sz w:val="28"/>
          <w:szCs w:val="28"/>
        </w:rPr>
        <w:t>GB/T 17924-2025《地理标志产品质量要求标准编制通则》</w:t>
      </w:r>
      <w:r>
        <w:rPr>
          <w:rFonts w:hint="eastAsia" w:ascii="仿宋" w:hAnsi="仿宋" w:eastAsia="仿宋" w:cs="Times New Roman"/>
          <w:color w:val="000000"/>
          <w:kern w:val="0"/>
          <w:sz w:val="28"/>
          <w:szCs w:val="28"/>
        </w:rPr>
        <w:t>的要求进行编写与表述。</w:t>
      </w:r>
    </w:p>
    <w:p w14:paraId="210F49D3">
      <w:pPr>
        <w:rPr>
          <w:rFonts w:ascii="仿宋" w:hAnsi="仿宋" w:eastAsia="仿宋" w:cs="Times New Roman"/>
          <w:color w:val="000000"/>
          <w:kern w:val="0"/>
          <w:sz w:val="28"/>
          <w:szCs w:val="28"/>
        </w:rPr>
      </w:pPr>
      <w:r>
        <w:rPr>
          <w:rFonts w:hint="eastAsia"/>
        </w:rPr>
        <w:t xml:space="preserve">      </w:t>
      </w:r>
      <w:r>
        <w:rPr>
          <w:rFonts w:hint="eastAsia" w:ascii="仿宋" w:hAnsi="仿宋" w:eastAsia="仿宋" w:cs="Times New Roman"/>
          <w:b/>
          <w:color w:val="000000"/>
          <w:kern w:val="0"/>
          <w:sz w:val="28"/>
          <w:szCs w:val="28"/>
        </w:rPr>
        <w:t>2.协调性。</w:t>
      </w:r>
      <w:r>
        <w:rPr>
          <w:rFonts w:hint="eastAsia" w:ascii="仿宋" w:hAnsi="仿宋" w:eastAsia="仿宋" w:cs="Times New Roman"/>
          <w:color w:val="000000"/>
          <w:kern w:val="0"/>
          <w:sz w:val="28"/>
          <w:szCs w:val="28"/>
        </w:rPr>
        <w:t>本标准的编制严格遵守了现有相关法律法规规定，参阅了相关国家标准、</w:t>
      </w:r>
      <w:r>
        <w:rPr>
          <w:rFonts w:hint="eastAsia" w:ascii="仿宋" w:hAnsi="仿宋" w:eastAsia="仿宋" w:cs="Times New Roman"/>
          <w:color w:val="000000"/>
          <w:kern w:val="0"/>
          <w:sz w:val="28"/>
          <w:szCs w:val="28"/>
          <w:lang w:val="en-US" w:eastAsia="zh-CN"/>
        </w:rPr>
        <w:t>行业标准、</w:t>
      </w:r>
      <w:r>
        <w:rPr>
          <w:rFonts w:hint="eastAsia" w:ascii="仿宋" w:hAnsi="仿宋" w:eastAsia="仿宋" w:cs="Times New Roman"/>
          <w:color w:val="000000"/>
          <w:kern w:val="0"/>
          <w:sz w:val="28"/>
          <w:szCs w:val="28"/>
        </w:rPr>
        <w:t>地方标准。结合</w:t>
      </w:r>
      <w:r>
        <w:rPr>
          <w:rFonts w:hint="eastAsia" w:ascii="仿宋" w:hAnsi="仿宋" w:eastAsia="仿宋" w:cs="Times New Roman"/>
          <w:color w:val="000000"/>
          <w:kern w:val="0"/>
          <w:sz w:val="28"/>
          <w:szCs w:val="28"/>
          <w:lang w:val="en-US" w:eastAsia="zh-CN"/>
        </w:rPr>
        <w:t>纳溪抹茶</w:t>
      </w:r>
      <w:r>
        <w:rPr>
          <w:rFonts w:hint="eastAsia" w:ascii="仿宋" w:hAnsi="仿宋" w:eastAsia="仿宋" w:cs="Times New Roman"/>
          <w:color w:val="000000"/>
          <w:kern w:val="0"/>
          <w:sz w:val="28"/>
          <w:szCs w:val="28"/>
        </w:rPr>
        <w:t xml:space="preserve">生产实际情况，充分借鉴已有经验，并在反复论证、综合分析的基础上，按照标准不能与现行标准、相关法律法规、政策性文件等冲突的原则，标准起草时，起草小组对其进行了深入学习，确保了本标准与相关法律法规、国家、行业标准内容相协调。   </w:t>
      </w:r>
      <w:r>
        <w:rPr>
          <w:rFonts w:hint="eastAsia"/>
        </w:rPr>
        <w:t xml:space="preserve">   </w:t>
      </w:r>
    </w:p>
    <w:p w14:paraId="640F80B3">
      <w:pPr>
        <w:ind w:firstLine="562"/>
        <w:rPr>
          <w:rFonts w:hint="eastAsia" w:ascii="仿宋" w:hAnsi="仿宋" w:eastAsia="仿宋" w:cs="Times New Roman"/>
          <w:color w:val="000000"/>
          <w:kern w:val="0"/>
          <w:sz w:val="28"/>
          <w:szCs w:val="28"/>
          <w:lang w:val="en-US" w:eastAsia="zh-CN"/>
        </w:rPr>
      </w:pPr>
      <w:r>
        <w:rPr>
          <w:rFonts w:hint="eastAsia" w:ascii="仿宋" w:hAnsi="仿宋" w:eastAsia="仿宋" w:cs="Times New Roman"/>
          <w:b/>
          <w:color w:val="000000"/>
          <w:kern w:val="0"/>
          <w:sz w:val="28"/>
          <w:szCs w:val="28"/>
        </w:rPr>
        <w:t>3.</w:t>
      </w:r>
      <w:r>
        <w:rPr>
          <w:rFonts w:hint="eastAsia" w:ascii="仿宋" w:hAnsi="仿宋" w:eastAsia="仿宋" w:cs="Times New Roman"/>
          <w:b/>
          <w:color w:val="000000"/>
          <w:kern w:val="0"/>
          <w:sz w:val="28"/>
          <w:szCs w:val="28"/>
          <w:lang w:eastAsia="zh-CN"/>
        </w:rPr>
        <w:t>先进性</w:t>
      </w:r>
      <w:r>
        <w:rPr>
          <w:rFonts w:hint="eastAsia" w:ascii="仿宋" w:hAnsi="仿宋" w:eastAsia="仿宋" w:cs="Times New Roman"/>
          <w:color w:val="000000"/>
          <w:kern w:val="0"/>
          <w:sz w:val="28"/>
          <w:szCs w:val="28"/>
        </w:rPr>
        <w:t>。</w:t>
      </w:r>
      <w:r>
        <w:rPr>
          <w:rFonts w:hint="eastAsia" w:ascii="仿宋" w:hAnsi="仿宋" w:eastAsia="仿宋" w:cs="Times New Roman"/>
          <w:color w:val="000000"/>
          <w:kern w:val="0"/>
          <w:sz w:val="28"/>
          <w:szCs w:val="28"/>
          <w:lang w:eastAsia="zh-CN"/>
        </w:rPr>
        <w:t>与</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 xml:space="preserve">—2017 </w:t>
      </w:r>
      <w:r>
        <w:rPr>
          <w:rFonts w:hint="eastAsia" w:ascii="仿宋" w:hAnsi="仿宋" w:eastAsia="仿宋" w:cs="Times New Roman"/>
          <w:color w:val="000000"/>
          <w:kern w:val="0"/>
          <w:sz w:val="28"/>
          <w:szCs w:val="28"/>
        </w:rPr>
        <w:t>抹茶</w:t>
      </w:r>
      <w:r>
        <w:rPr>
          <w:rFonts w:hint="eastAsia" w:ascii="仿宋" w:hAnsi="仿宋" w:eastAsia="仿宋" w:cs="Times New Roman"/>
          <w:color w:val="000000"/>
          <w:kern w:val="0"/>
          <w:sz w:val="28"/>
          <w:szCs w:val="28"/>
          <w:lang w:val="en-US" w:eastAsia="zh-CN"/>
        </w:rPr>
        <w:t xml:space="preserve"> 相比，本标准的理化指标中，粒度、氨基酸总量均超过其一级品指标，并增加了叶绿素、茶氨酸、儿茶素等多项关键指标；安全卫生指标增加了真菌毒素限量和微生物限量。</w:t>
      </w:r>
    </w:p>
    <w:p w14:paraId="0D4F1D8B">
      <w:pPr>
        <w:rPr>
          <w:rFonts w:ascii="仿宋" w:hAnsi="仿宋" w:eastAsia="仿宋"/>
          <w:sz w:val="28"/>
          <w:szCs w:val="28"/>
        </w:rPr>
      </w:pPr>
      <w:r>
        <w:rPr>
          <w:rFonts w:hint="eastAsia"/>
        </w:rPr>
        <w:t xml:space="preserve"> </w:t>
      </w:r>
    </w:p>
    <w:p w14:paraId="332A2083">
      <w:pPr>
        <w:pStyle w:val="2"/>
        <w:spacing w:before="0" w:after="0" w:line="594" w:lineRule="exact"/>
        <w:rPr>
          <w:rFonts w:ascii="黑体" w:eastAsia="黑体"/>
          <w:b w:val="0"/>
          <w:sz w:val="32"/>
          <w:szCs w:val="32"/>
        </w:rPr>
      </w:pPr>
      <w:r>
        <w:rPr>
          <w:rFonts w:hint="eastAsia" w:ascii="黑体" w:eastAsia="黑体"/>
          <w:b w:val="0"/>
          <w:sz w:val="32"/>
          <w:szCs w:val="32"/>
        </w:rPr>
        <w:t xml:space="preserve">    </w:t>
      </w:r>
      <w:bookmarkStart w:id="9" w:name="_Toc1768072245"/>
      <w:r>
        <w:rPr>
          <w:rFonts w:hint="eastAsia" w:ascii="黑体" w:eastAsia="黑体"/>
          <w:b w:val="0"/>
          <w:sz w:val="32"/>
          <w:szCs w:val="32"/>
        </w:rPr>
        <w:t>五、标准框架和内容说明</w:t>
      </w:r>
      <w:bookmarkEnd w:id="9"/>
    </w:p>
    <w:p w14:paraId="0A4C2714">
      <w:pPr>
        <w:pStyle w:val="3"/>
        <w:spacing w:before="0" w:after="0" w:line="594" w:lineRule="exact"/>
        <w:rPr>
          <w:rFonts w:ascii="楷体_GB2312" w:eastAsia="楷体_GB2312"/>
          <w:b w:val="0"/>
        </w:rPr>
      </w:pPr>
      <w:r>
        <w:rPr>
          <w:rFonts w:hint="eastAsia" w:ascii="楷体_GB2312" w:eastAsia="楷体_GB2312"/>
          <w:b w:val="0"/>
        </w:rPr>
        <w:t xml:space="preserve">   </w:t>
      </w:r>
      <w:bookmarkStart w:id="10" w:name="_Toc340242755"/>
      <w:r>
        <w:rPr>
          <w:rFonts w:hint="eastAsia" w:ascii="楷体_GB2312" w:eastAsia="楷体_GB2312"/>
          <w:b w:val="0"/>
        </w:rPr>
        <w:t>（一）标准的结构</w:t>
      </w:r>
      <w:bookmarkEnd w:id="10"/>
    </w:p>
    <w:p w14:paraId="4A5F78D7">
      <w:pPr>
        <w:pStyle w:val="21"/>
        <w:numPr>
          <w:ilvl w:val="1"/>
          <w:numId w:val="0"/>
        </w:numPr>
        <w:bidi w:val="0"/>
        <w:ind w:leftChars="0"/>
      </w:pPr>
      <w:bookmarkStart w:id="11" w:name="_Toc719131190"/>
      <w:r>
        <w:rPr>
          <w:rFonts w:hint="eastAsia" w:ascii="仿宋" w:hAnsi="仿宋" w:eastAsia="仿宋" w:cs="Times New Roman"/>
          <w:color w:val="000000"/>
          <w:kern w:val="0"/>
          <w:sz w:val="28"/>
          <w:szCs w:val="28"/>
          <w:lang w:eastAsia="zh-CN"/>
        </w:rPr>
        <w:t>本</w:t>
      </w:r>
      <w:r>
        <w:rPr>
          <w:rFonts w:hint="eastAsia" w:ascii="仿宋" w:hAnsi="仿宋" w:eastAsia="仿宋" w:cs="Times New Roman"/>
          <w:color w:val="000000"/>
          <w:kern w:val="0"/>
          <w:sz w:val="28"/>
          <w:szCs w:val="28"/>
        </w:rPr>
        <w:t>标准共</w:t>
      </w:r>
      <w:r>
        <w:rPr>
          <w:rFonts w:hint="eastAsia" w:ascii="仿宋" w:hAnsi="仿宋" w:eastAsia="仿宋" w:cs="Times New Roman"/>
          <w:color w:val="000000"/>
          <w:kern w:val="0"/>
          <w:sz w:val="28"/>
          <w:szCs w:val="28"/>
          <w:lang w:eastAsia="zh-CN"/>
        </w:rPr>
        <w:t>七章，</w:t>
      </w:r>
      <w:r>
        <w:rPr>
          <w:rFonts w:hint="eastAsia" w:ascii="仿宋" w:hAnsi="仿宋" w:eastAsia="仿宋" w:cs="Times New Roman"/>
          <w:color w:val="000000"/>
          <w:kern w:val="0"/>
          <w:sz w:val="28"/>
          <w:szCs w:val="28"/>
        </w:rPr>
        <w:t>分别为：范围、规范性引用文件、术语和定义、</w:t>
      </w:r>
      <w:r>
        <w:rPr>
          <w:rFonts w:hint="eastAsia" w:ascii="仿宋" w:hAnsi="仿宋" w:eastAsia="仿宋" w:cs="Times New Roman"/>
          <w:color w:val="000000"/>
          <w:kern w:val="0"/>
          <w:sz w:val="28"/>
          <w:szCs w:val="28"/>
          <w:lang w:eastAsia="zh-CN"/>
        </w:rPr>
        <w:t>产品要求</w:t>
      </w:r>
      <w:r>
        <w:rPr>
          <w:rFonts w:hint="eastAsia" w:ascii="仿宋" w:hAnsi="仿宋" w:eastAsia="仿宋" w:cs="Times New Roman"/>
          <w:color w:val="000000"/>
          <w:kern w:val="0"/>
          <w:sz w:val="28"/>
          <w:szCs w:val="28"/>
        </w:rPr>
        <w:t>、</w:t>
      </w:r>
      <w:r>
        <w:rPr>
          <w:rFonts w:hint="eastAsia" w:ascii="仿宋" w:hAnsi="仿宋" w:eastAsia="仿宋" w:cs="Times New Roman"/>
          <w:color w:val="000000"/>
          <w:kern w:val="0"/>
          <w:sz w:val="28"/>
          <w:szCs w:val="28"/>
          <w:lang w:val="en-US" w:eastAsia="zh-CN"/>
        </w:rPr>
        <w:t>检验方法、检验规则</w:t>
      </w:r>
      <w:r>
        <w:rPr>
          <w:rFonts w:hint="eastAsia" w:ascii="仿宋" w:hAnsi="仿宋" w:eastAsia="仿宋" w:cs="Times New Roman"/>
          <w:color w:val="000000"/>
          <w:kern w:val="0"/>
          <w:sz w:val="28"/>
          <w:szCs w:val="28"/>
          <w:lang w:eastAsia="zh-CN"/>
        </w:rPr>
        <w:t>、</w:t>
      </w:r>
      <w:bookmarkStart w:id="12" w:name="_Toc16569"/>
      <w:bookmarkStart w:id="13" w:name="_Toc10705"/>
      <w:r>
        <w:rPr>
          <w:rFonts w:hint="eastAsia" w:ascii="仿宋" w:hAnsi="仿宋" w:eastAsia="仿宋" w:cs="Times New Roman"/>
          <w:color w:val="000000"/>
          <w:kern w:val="0"/>
          <w:sz w:val="28"/>
          <w:szCs w:val="28"/>
          <w:lang w:eastAsia="zh-CN"/>
        </w:rPr>
        <w:t>标志、标签、包装、运输、贮存及追溯与召回</w:t>
      </w:r>
      <w:bookmarkEnd w:id="12"/>
      <w:bookmarkEnd w:id="13"/>
      <w:r>
        <w:rPr>
          <w:rFonts w:hint="eastAsia" w:ascii="仿宋" w:hAnsi="仿宋" w:eastAsia="仿宋" w:cs="Times New Roman"/>
          <w:color w:val="000000"/>
          <w:kern w:val="0"/>
          <w:sz w:val="28"/>
          <w:szCs w:val="28"/>
        </w:rPr>
        <w:t>。</w:t>
      </w:r>
      <w:bookmarkEnd w:id="11"/>
    </w:p>
    <w:p w14:paraId="52C053AA">
      <w:pPr>
        <w:pStyle w:val="3"/>
        <w:spacing w:before="0" w:after="0" w:line="594" w:lineRule="exact"/>
        <w:rPr>
          <w:rFonts w:ascii="楷体_GB2312" w:eastAsia="楷体_GB2312"/>
          <w:b w:val="0"/>
        </w:rPr>
      </w:pPr>
      <w:r>
        <w:rPr>
          <w:rFonts w:hint="eastAsia" w:ascii="楷体_GB2312" w:eastAsia="楷体_GB2312"/>
          <w:b w:val="0"/>
        </w:rPr>
        <w:t xml:space="preserve">   </w:t>
      </w:r>
      <w:bookmarkStart w:id="14" w:name="_Toc495344184"/>
      <w:r>
        <w:rPr>
          <w:rFonts w:hint="eastAsia" w:ascii="楷体_GB2312" w:eastAsia="楷体_GB2312"/>
          <w:b w:val="0"/>
        </w:rPr>
        <w:t>（二）标准的内容</w:t>
      </w:r>
      <w:bookmarkEnd w:id="14"/>
    </w:p>
    <w:p w14:paraId="1ECB6BC5">
      <w:pPr>
        <w:rPr>
          <w:rFonts w:hint="eastAsia" w:ascii="仿宋" w:hAnsi="仿宋" w:eastAsia="仿宋" w:cs="Times New Roman"/>
          <w:color w:val="000000"/>
          <w:kern w:val="0"/>
          <w:sz w:val="28"/>
          <w:szCs w:val="28"/>
        </w:rPr>
      </w:pPr>
      <w:r>
        <w:rPr>
          <w:rFonts w:hint="eastAsia" w:ascii="仿宋" w:hAnsi="仿宋" w:eastAsia="仿宋" w:cs="Times New Roman"/>
          <w:color w:val="000000"/>
          <w:kern w:val="0"/>
          <w:sz w:val="28"/>
          <w:szCs w:val="28"/>
        </w:rPr>
        <w:t xml:space="preserve">     1.范围</w:t>
      </w:r>
    </w:p>
    <w:p w14:paraId="7DBCF4B3">
      <w:pPr>
        <w:ind w:left="560" w:hanging="560" w:hangingChars="200"/>
        <w:rPr>
          <w:rFonts w:hint="eastAsia" w:ascii="仿宋" w:hAnsi="仿宋" w:eastAsia="仿宋" w:cs="Times New Roman"/>
          <w:color w:val="000000"/>
          <w:kern w:val="0"/>
          <w:sz w:val="28"/>
          <w:szCs w:val="28"/>
        </w:rPr>
      </w:pPr>
      <w:r>
        <w:rPr>
          <w:rFonts w:hint="eastAsia" w:ascii="仿宋" w:hAnsi="仿宋" w:eastAsia="仿宋" w:cs="Times New Roman"/>
          <w:color w:val="000000"/>
          <w:kern w:val="0"/>
          <w:sz w:val="28"/>
          <w:szCs w:val="28"/>
        </w:rPr>
        <w:t xml:space="preserve">    明确标准的主要技术内容，界定了标准适用</w:t>
      </w:r>
      <w:r>
        <w:rPr>
          <w:rFonts w:hint="eastAsia" w:ascii="仿宋" w:hAnsi="仿宋" w:eastAsia="仿宋" w:cs="Times New Roman"/>
          <w:color w:val="000000"/>
          <w:kern w:val="0"/>
          <w:sz w:val="28"/>
          <w:szCs w:val="28"/>
          <w:lang w:eastAsia="zh-CN"/>
        </w:rPr>
        <w:t>范围和不适用范围。</w:t>
      </w:r>
      <w:r>
        <w:rPr>
          <w:rFonts w:hint="eastAsia" w:ascii="仿宋" w:hAnsi="仿宋" w:eastAsia="仿宋" w:cs="Times New Roman"/>
          <w:color w:val="000000"/>
          <w:kern w:val="0"/>
          <w:sz w:val="28"/>
          <w:szCs w:val="28"/>
        </w:rPr>
        <w:t xml:space="preserve">    2.规范性引用文件</w:t>
      </w:r>
    </w:p>
    <w:p w14:paraId="072E6384">
      <w:pPr>
        <w:rPr>
          <w:rFonts w:hint="eastAsia" w:ascii="仿宋" w:hAnsi="仿宋" w:eastAsia="仿宋" w:cs="Times New Roman"/>
          <w:color w:val="000000"/>
          <w:kern w:val="0"/>
          <w:sz w:val="28"/>
          <w:szCs w:val="28"/>
        </w:rPr>
      </w:pPr>
      <w:r>
        <w:rPr>
          <w:rFonts w:hint="eastAsia" w:ascii="仿宋" w:hAnsi="仿宋" w:eastAsia="仿宋" w:cs="Times New Roman"/>
          <w:color w:val="000000"/>
          <w:kern w:val="0"/>
          <w:sz w:val="28"/>
          <w:szCs w:val="28"/>
        </w:rPr>
        <w:t xml:space="preserve">    本章严格</w:t>
      </w:r>
      <w:bookmarkStart w:id="15" w:name="OLE_LINK30"/>
      <w:bookmarkStart w:id="16" w:name="OLE_LINK31"/>
      <w:r>
        <w:rPr>
          <w:rFonts w:hint="eastAsia" w:ascii="仿宋" w:hAnsi="仿宋" w:eastAsia="仿宋" w:cs="Times New Roman"/>
          <w:color w:val="000000"/>
          <w:kern w:val="0"/>
          <w:sz w:val="28"/>
          <w:szCs w:val="28"/>
        </w:rPr>
        <w:t>按照GB/T 1.1-2020《标准化工作导则 第1部分：标准化文件的结构和起草规则》的要求</w:t>
      </w:r>
      <w:bookmarkEnd w:id="15"/>
      <w:bookmarkEnd w:id="16"/>
      <w:r>
        <w:rPr>
          <w:rFonts w:hint="eastAsia" w:ascii="仿宋" w:hAnsi="仿宋" w:eastAsia="仿宋" w:cs="Times New Roman"/>
          <w:color w:val="000000"/>
          <w:kern w:val="0"/>
          <w:sz w:val="28"/>
          <w:szCs w:val="28"/>
        </w:rPr>
        <w:t>，给出了本文件中引用的规范性文件。</w:t>
      </w:r>
    </w:p>
    <w:p w14:paraId="766B643E">
      <w:pPr>
        <w:rPr>
          <w:rFonts w:ascii="仿宋" w:hAnsi="仿宋" w:eastAsia="仿宋" w:cs="Times New Roman"/>
          <w:b/>
          <w:color w:val="000000"/>
          <w:kern w:val="0"/>
          <w:sz w:val="28"/>
          <w:szCs w:val="28"/>
        </w:rPr>
      </w:pPr>
      <w:r>
        <w:rPr>
          <w:rFonts w:hint="eastAsia" w:ascii="仿宋" w:hAnsi="仿宋" w:eastAsia="仿宋" w:cs="Times New Roman"/>
          <w:color w:val="000000"/>
          <w:kern w:val="0"/>
          <w:sz w:val="28"/>
          <w:szCs w:val="28"/>
        </w:rPr>
        <w:t xml:space="preserve">    </w:t>
      </w:r>
      <w:r>
        <w:rPr>
          <w:rFonts w:hint="eastAsia" w:ascii="仿宋" w:hAnsi="仿宋" w:eastAsia="仿宋" w:cs="Times New Roman"/>
          <w:b/>
          <w:color w:val="000000"/>
          <w:kern w:val="0"/>
          <w:sz w:val="28"/>
          <w:szCs w:val="28"/>
        </w:rPr>
        <w:t>3.术语和定义</w:t>
      </w:r>
    </w:p>
    <w:p w14:paraId="15D293C1">
      <w:pPr>
        <w:keepNext w:val="0"/>
        <w:keepLines w:val="0"/>
        <w:widowControl/>
        <w:suppressLineNumbers w:val="0"/>
        <w:jc w:val="left"/>
        <w:rPr>
          <w:rFonts w:ascii="仿宋" w:hAnsi="仿宋" w:eastAsia="仿宋" w:cs="Times New Roman"/>
          <w:color w:val="000000"/>
          <w:kern w:val="0"/>
          <w:sz w:val="28"/>
          <w:szCs w:val="28"/>
        </w:rPr>
      </w:pPr>
      <w:r>
        <w:rPr>
          <w:rFonts w:hint="eastAsia" w:ascii="仿宋" w:hAnsi="仿宋" w:eastAsia="仿宋" w:cs="Times New Roman"/>
          <w:color w:val="000000"/>
          <w:kern w:val="0"/>
          <w:sz w:val="28"/>
          <w:szCs w:val="28"/>
        </w:rPr>
        <w:t xml:space="preserve">    </w:t>
      </w:r>
      <w:r>
        <w:rPr>
          <w:rFonts w:hint="eastAsia" w:ascii="仿宋" w:hAnsi="仿宋" w:eastAsia="仿宋" w:cs="Times New Roman"/>
          <w:color w:val="000000"/>
          <w:kern w:val="0"/>
          <w:sz w:val="28"/>
          <w:szCs w:val="28"/>
          <w:lang w:eastAsia="zh-CN"/>
        </w:rPr>
        <w:t>强调了“碾茶”的</w:t>
      </w:r>
      <w:r>
        <w:rPr>
          <w:rFonts w:hint="eastAsia" w:ascii="仿宋" w:hAnsi="仿宋" w:eastAsia="仿宋" w:cs="仿宋"/>
          <w:color w:val="000000"/>
          <w:kern w:val="0"/>
          <w:sz w:val="28"/>
          <w:szCs w:val="28"/>
          <w:lang w:val="en-US" w:eastAsia="zh-CN" w:bidi="ar"/>
        </w:rPr>
        <w:t>定义。</w:t>
      </w:r>
    </w:p>
    <w:p w14:paraId="3FB73382">
      <w:pPr>
        <w:rPr>
          <w:rFonts w:hint="eastAsia" w:ascii="仿宋" w:hAnsi="仿宋" w:eastAsia="仿宋" w:cs="Times New Roman"/>
          <w:b/>
          <w:color w:val="000000"/>
          <w:kern w:val="0"/>
          <w:sz w:val="28"/>
          <w:szCs w:val="28"/>
          <w:lang w:eastAsia="zh-CN"/>
        </w:rPr>
      </w:pPr>
      <w:r>
        <w:rPr>
          <w:rFonts w:hint="eastAsia" w:ascii="仿宋" w:hAnsi="仿宋" w:eastAsia="仿宋" w:cs="Times New Roman"/>
          <w:color w:val="000000"/>
          <w:kern w:val="0"/>
          <w:sz w:val="28"/>
          <w:szCs w:val="28"/>
        </w:rPr>
        <w:t xml:space="preserve">    </w:t>
      </w:r>
      <w:r>
        <w:rPr>
          <w:rFonts w:hint="eastAsia" w:ascii="仿宋" w:hAnsi="仿宋" w:eastAsia="仿宋" w:cs="Times New Roman"/>
          <w:b/>
          <w:color w:val="000000"/>
          <w:kern w:val="0"/>
          <w:sz w:val="28"/>
          <w:szCs w:val="28"/>
        </w:rPr>
        <w:t>4.</w:t>
      </w:r>
      <w:r>
        <w:rPr>
          <w:rFonts w:hint="eastAsia" w:ascii="仿宋" w:hAnsi="仿宋" w:eastAsia="仿宋" w:cs="Times New Roman"/>
          <w:b/>
          <w:color w:val="000000"/>
          <w:kern w:val="0"/>
          <w:sz w:val="28"/>
          <w:szCs w:val="28"/>
          <w:lang w:eastAsia="zh-CN"/>
        </w:rPr>
        <w:t>产品要求</w:t>
      </w:r>
    </w:p>
    <w:p w14:paraId="5FE9C3CE">
      <w:pPr>
        <w:numPr>
          <w:ilvl w:val="0"/>
          <w:numId w:val="0"/>
        </w:numPr>
        <w:ind w:firstLine="560" w:firstLineChars="200"/>
        <w:rPr>
          <w:rFonts w:hint="eastAsia"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4.1规定了抹茶的基本要求。</w:t>
      </w:r>
    </w:p>
    <w:p w14:paraId="0DEDBBC0">
      <w:pPr>
        <w:numPr>
          <w:ilvl w:val="0"/>
          <w:numId w:val="0"/>
        </w:numPr>
        <w:ind w:firstLine="560" w:firstLineChars="200"/>
        <w:rPr>
          <w:rFonts w:hint="eastAsia"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4.2 感官要求。对标</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—2017中的一级。</w:t>
      </w:r>
    </w:p>
    <w:p w14:paraId="09E7AC44">
      <w:pPr>
        <w:numPr>
          <w:ilvl w:val="0"/>
          <w:numId w:val="0"/>
        </w:numPr>
        <w:ind w:firstLine="560" w:firstLineChars="200"/>
        <w:rPr>
          <w:rFonts w:hint="eastAsia"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4.3 理化指标。与</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—2017对比，提高了粒度、茶氨酸指标，增加了水浸出物、游离氨基酸总量、叶绿素、茶多酚、儿茶素指标。</w:t>
      </w:r>
    </w:p>
    <w:p w14:paraId="36F0CD56">
      <w:pPr>
        <w:numPr>
          <w:ilvl w:val="0"/>
          <w:numId w:val="0"/>
        </w:numPr>
        <w:ind w:firstLine="560" w:firstLineChars="200"/>
        <w:rPr>
          <w:rFonts w:hint="default"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4.4安全指标。与</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—2017对比，增加了真菌毒素限量和微生物限量指标。</w:t>
      </w:r>
    </w:p>
    <w:p w14:paraId="55B8A85D">
      <w:pPr>
        <w:numPr>
          <w:ilvl w:val="0"/>
          <w:numId w:val="0"/>
        </w:numPr>
        <w:ind w:firstLine="560" w:firstLineChars="200"/>
        <w:rPr>
          <w:rFonts w:hint="default"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5.检验方法</w:t>
      </w:r>
    </w:p>
    <w:p w14:paraId="5D16EE7C">
      <w:pPr>
        <w:keepNext w:val="0"/>
        <w:keepLines w:val="0"/>
        <w:widowControl/>
        <w:suppressLineNumbers w:val="0"/>
        <w:jc w:val="left"/>
      </w:pPr>
      <w:r>
        <w:rPr>
          <w:rFonts w:hint="eastAsia" w:ascii="仿宋" w:hAnsi="仿宋" w:eastAsia="仿宋" w:cs="Times New Roman"/>
          <w:b/>
          <w:color w:val="000000"/>
          <w:kern w:val="0"/>
          <w:sz w:val="28"/>
          <w:szCs w:val="28"/>
          <w:lang w:val="en-US" w:eastAsia="zh-CN"/>
        </w:rPr>
        <w:t xml:space="preserve">   </w:t>
      </w:r>
      <w:r>
        <w:rPr>
          <w:rFonts w:hint="eastAsia" w:ascii="仿宋" w:hAnsi="仿宋" w:eastAsia="仿宋" w:cs="仿宋"/>
          <w:color w:val="000000"/>
          <w:kern w:val="0"/>
          <w:sz w:val="28"/>
          <w:szCs w:val="28"/>
          <w:lang w:val="en-US" w:eastAsia="zh-CN" w:bidi="ar"/>
        </w:rPr>
        <w:t>针对各项超出</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—2017要求的</w:t>
      </w:r>
      <w:r>
        <w:rPr>
          <w:rFonts w:hint="eastAsia" w:ascii="仿宋" w:hAnsi="仿宋" w:eastAsia="仿宋" w:cs="仿宋"/>
          <w:color w:val="000000"/>
          <w:kern w:val="0"/>
          <w:sz w:val="28"/>
          <w:szCs w:val="28"/>
          <w:lang w:val="en-US" w:eastAsia="zh-CN" w:bidi="ar"/>
        </w:rPr>
        <w:t>新增指标，均提出了具体的检验方法。</w:t>
      </w:r>
    </w:p>
    <w:p w14:paraId="53407539">
      <w:pPr>
        <w:numPr>
          <w:ilvl w:val="0"/>
          <w:numId w:val="0"/>
        </w:numPr>
        <w:ind w:firstLine="560" w:firstLineChars="200"/>
        <w:rPr>
          <w:rFonts w:hint="eastAsia" w:ascii="仿宋" w:hAnsi="仿宋" w:eastAsia="仿宋" w:cs="Times New Roman"/>
          <w:color w:val="000000"/>
          <w:kern w:val="0"/>
          <w:sz w:val="28"/>
          <w:szCs w:val="28"/>
          <w:lang w:val="en-US" w:eastAsia="zh-CN"/>
        </w:rPr>
      </w:pPr>
      <w:r>
        <w:rPr>
          <w:rFonts w:hint="eastAsia" w:ascii="仿宋" w:hAnsi="仿宋" w:eastAsia="仿宋" w:cs="Times New Roman"/>
          <w:color w:val="000000"/>
          <w:kern w:val="0"/>
          <w:sz w:val="28"/>
          <w:szCs w:val="28"/>
          <w:lang w:val="en-US" w:eastAsia="zh-CN"/>
        </w:rPr>
        <w:t>6.检验规则</w:t>
      </w:r>
    </w:p>
    <w:p w14:paraId="1EB2EF82">
      <w:pPr>
        <w:keepNext w:val="0"/>
        <w:keepLines w:val="0"/>
        <w:widowControl/>
        <w:suppressLineNumbers w:val="0"/>
        <w:jc w:val="left"/>
        <w:rPr>
          <w:rFonts w:hint="default" w:ascii="仿宋" w:hAnsi="仿宋" w:eastAsia="仿宋" w:cs="Times New Roman"/>
          <w:b/>
          <w:color w:val="000000"/>
          <w:kern w:val="0"/>
          <w:sz w:val="28"/>
          <w:szCs w:val="28"/>
          <w:lang w:val="en-US" w:eastAsia="zh-CN"/>
        </w:rPr>
      </w:pPr>
      <w:r>
        <w:rPr>
          <w:rFonts w:hint="eastAsia" w:ascii="仿宋" w:hAnsi="仿宋" w:eastAsia="仿宋" w:cs="Times New Roman"/>
          <w:b/>
          <w:color w:val="000000"/>
          <w:kern w:val="0"/>
          <w:sz w:val="28"/>
          <w:szCs w:val="28"/>
          <w:lang w:val="en-US" w:eastAsia="zh-CN"/>
        </w:rPr>
        <w:t xml:space="preserve">    </w:t>
      </w:r>
      <w:r>
        <w:rPr>
          <w:rFonts w:hint="eastAsia" w:ascii="仿宋" w:hAnsi="仿宋" w:eastAsia="仿宋" w:cs="仿宋"/>
          <w:color w:val="000000"/>
          <w:kern w:val="0"/>
          <w:sz w:val="28"/>
          <w:szCs w:val="28"/>
          <w:lang w:val="en-US" w:eastAsia="zh-CN" w:bidi="ar"/>
        </w:rPr>
        <w:t>无需要专门说明的内容。</w:t>
      </w:r>
    </w:p>
    <w:p w14:paraId="2C48CF0C">
      <w:pPr>
        <w:numPr>
          <w:ilvl w:val="0"/>
          <w:numId w:val="0"/>
        </w:numPr>
        <w:ind w:firstLine="562" w:firstLineChars="200"/>
        <w:rPr>
          <w:rFonts w:hint="default" w:ascii="仿宋" w:hAnsi="仿宋" w:eastAsia="仿宋" w:cs="Times New Roman"/>
          <w:b/>
          <w:color w:val="000000"/>
          <w:kern w:val="0"/>
          <w:sz w:val="28"/>
          <w:szCs w:val="28"/>
          <w:lang w:val="en-US" w:eastAsia="zh-CN" w:bidi="ar-SA"/>
        </w:rPr>
      </w:pPr>
      <w:r>
        <w:rPr>
          <w:rFonts w:hint="eastAsia" w:ascii="仿宋" w:hAnsi="仿宋" w:eastAsia="仿宋" w:cs="Times New Roman"/>
          <w:b/>
          <w:color w:val="000000"/>
          <w:kern w:val="0"/>
          <w:sz w:val="28"/>
          <w:szCs w:val="28"/>
          <w:lang w:val="en-US" w:eastAsia="zh-CN" w:bidi="ar-SA"/>
        </w:rPr>
        <w:t>7.标志、标签、包装、运输、贮存及追溯与召回</w:t>
      </w:r>
    </w:p>
    <w:p w14:paraId="676405DE">
      <w:pPr>
        <w:ind w:firstLine="560" w:firstLineChars="200"/>
        <w:rPr>
          <w:rFonts w:ascii="仿宋" w:hAnsi="仿宋" w:eastAsia="仿宋" w:cs="Times New Roman"/>
          <w:b/>
          <w:color w:val="000000"/>
          <w:kern w:val="0"/>
          <w:sz w:val="28"/>
          <w:szCs w:val="28"/>
        </w:rPr>
      </w:pPr>
      <w:r>
        <w:rPr>
          <w:rFonts w:hint="eastAsia" w:ascii="仿宋" w:hAnsi="仿宋" w:eastAsia="仿宋" w:cs="Times New Roman"/>
          <w:color w:val="000000"/>
          <w:kern w:val="0"/>
          <w:sz w:val="28"/>
          <w:szCs w:val="28"/>
          <w:lang w:eastAsia="zh-CN"/>
        </w:rPr>
        <w:t>在</w:t>
      </w:r>
      <w:r>
        <w:rPr>
          <w:rFonts w:hint="eastAsia" w:ascii="仿宋" w:hAnsi="仿宋" w:eastAsia="仿宋" w:cs="Times New Roman"/>
          <w:color w:val="000000"/>
          <w:kern w:val="0"/>
          <w:sz w:val="28"/>
          <w:szCs w:val="28"/>
        </w:rPr>
        <w:t>GB/T 34778</w:t>
      </w:r>
      <w:r>
        <w:rPr>
          <w:rFonts w:hint="eastAsia" w:ascii="仿宋" w:hAnsi="仿宋" w:eastAsia="仿宋" w:cs="Times New Roman"/>
          <w:color w:val="000000"/>
          <w:kern w:val="0"/>
          <w:sz w:val="28"/>
          <w:szCs w:val="28"/>
          <w:lang w:val="en-US" w:eastAsia="zh-CN"/>
        </w:rPr>
        <w:t>—2017的基础上，增加了追溯与召回的内容</w:t>
      </w:r>
      <w:r>
        <w:rPr>
          <w:rFonts w:hint="eastAsia" w:ascii="仿宋" w:hAnsi="仿宋" w:eastAsia="仿宋"/>
          <w:sz w:val="28"/>
          <w:szCs w:val="28"/>
        </w:rPr>
        <w:t>。</w:t>
      </w:r>
    </w:p>
    <w:p w14:paraId="16945B2A">
      <w:pPr>
        <w:rPr>
          <w:rFonts w:ascii="黑体" w:eastAsia="黑体"/>
          <w:b w:val="0"/>
          <w:sz w:val="32"/>
          <w:szCs w:val="32"/>
        </w:rPr>
      </w:pPr>
      <w:bookmarkStart w:id="17" w:name="_Toc177504655"/>
      <w:r>
        <w:rPr>
          <w:rFonts w:hint="eastAsia" w:ascii="黑体" w:eastAsia="黑体"/>
          <w:b w:val="0"/>
          <w:sz w:val="32"/>
          <w:szCs w:val="32"/>
        </w:rPr>
        <w:t xml:space="preserve">   </w:t>
      </w:r>
      <w:bookmarkEnd w:id="17"/>
      <w:bookmarkStart w:id="18" w:name="_Toc177504656"/>
      <w:r>
        <w:rPr>
          <w:rFonts w:hint="eastAsia" w:ascii="黑体" w:eastAsia="黑体"/>
          <w:b w:val="0"/>
          <w:sz w:val="32"/>
          <w:szCs w:val="32"/>
        </w:rPr>
        <w:t>七、采用国际标准情况</w:t>
      </w:r>
      <w:bookmarkEnd w:id="18"/>
    </w:p>
    <w:p w14:paraId="53A9D910">
      <w:pPr>
        <w:pStyle w:val="23"/>
        <w:rPr>
          <w:rFonts w:hint="eastAsia" w:ascii="国标仿宋" w:hAnsi="国标仿宋" w:eastAsia="国标仿宋" w:cs="国标仿宋"/>
          <w:kern w:val="2"/>
          <w:sz w:val="28"/>
          <w:szCs w:val="28"/>
          <w:lang w:val="en-US" w:eastAsia="zh-CN" w:bidi="ar-SA"/>
        </w:rPr>
      </w:pPr>
      <w:r>
        <w:rPr>
          <w:rFonts w:hint="eastAsia" w:asciiTheme="minorHAnsi" w:hAnsiTheme="minorHAnsi" w:eastAsiaTheme="minorEastAsia" w:cstheme="minorBidi"/>
          <w:kern w:val="2"/>
          <w:sz w:val="21"/>
          <w:szCs w:val="22"/>
          <w:lang w:val="en-US" w:eastAsia="zh-CN" w:bidi="ar-SA"/>
        </w:rPr>
        <w:t xml:space="preserve">   </w:t>
      </w:r>
      <w:r>
        <w:rPr>
          <w:rFonts w:hint="eastAsia" w:ascii="国标仿宋" w:hAnsi="国标仿宋" w:eastAsia="国标仿宋" w:cs="国标仿宋"/>
          <w:kern w:val="2"/>
          <w:sz w:val="28"/>
          <w:szCs w:val="28"/>
          <w:lang w:val="en-US" w:eastAsia="zh-CN" w:bidi="ar-SA"/>
        </w:rPr>
        <w:t>本标准部分指标设置及指标值参考了 ISO/TR 21380:2022 Matcha tea—Definition and characteristics 。</w:t>
      </w:r>
    </w:p>
    <w:p w14:paraId="1AFB5C6B">
      <w:pPr>
        <w:pStyle w:val="2"/>
        <w:spacing w:before="0" w:after="0" w:line="594" w:lineRule="exact"/>
        <w:rPr>
          <w:rFonts w:ascii="黑体" w:eastAsia="黑体"/>
          <w:b w:val="0"/>
          <w:sz w:val="32"/>
          <w:szCs w:val="32"/>
        </w:rPr>
      </w:pPr>
      <w:bookmarkStart w:id="19" w:name="_Toc177504657"/>
      <w:r>
        <w:rPr>
          <w:rFonts w:hint="eastAsia" w:ascii="黑体" w:eastAsia="黑体"/>
          <w:b w:val="0"/>
          <w:sz w:val="32"/>
          <w:szCs w:val="32"/>
        </w:rPr>
        <w:t xml:space="preserve">   </w:t>
      </w:r>
      <w:bookmarkStart w:id="20" w:name="_Toc1303549741"/>
      <w:r>
        <w:rPr>
          <w:rFonts w:hint="eastAsia" w:ascii="黑体" w:eastAsia="黑体"/>
          <w:b w:val="0"/>
          <w:sz w:val="32"/>
          <w:szCs w:val="32"/>
        </w:rPr>
        <w:t>八、与现行法律法规和强制性标准的关系</w:t>
      </w:r>
      <w:bookmarkEnd w:id="19"/>
      <w:bookmarkEnd w:id="20"/>
    </w:p>
    <w:p w14:paraId="14C80133">
      <w:pPr>
        <w:rPr>
          <w:rFonts w:ascii="仿宋" w:hAnsi="仿宋" w:eastAsia="仿宋"/>
          <w:sz w:val="28"/>
          <w:szCs w:val="28"/>
        </w:rPr>
      </w:pPr>
      <w:r>
        <w:rPr>
          <w:rFonts w:hint="eastAsia"/>
        </w:rPr>
        <w:t xml:space="preserve">     </w:t>
      </w:r>
      <w:r>
        <w:rPr>
          <w:rFonts w:hint="eastAsia" w:ascii="仿宋" w:hAnsi="仿宋" w:eastAsia="仿宋"/>
          <w:sz w:val="28"/>
          <w:szCs w:val="28"/>
        </w:rPr>
        <w:t>本标准</w:t>
      </w:r>
      <w:r>
        <w:rPr>
          <w:rFonts w:hint="eastAsia" w:ascii="仿宋" w:hAnsi="仿宋" w:eastAsia="仿宋" w:cs="Times New Roman"/>
          <w:color w:val="000000"/>
          <w:kern w:val="0"/>
          <w:sz w:val="28"/>
          <w:szCs w:val="28"/>
        </w:rPr>
        <w:t>与</w:t>
      </w:r>
      <w:r>
        <w:rPr>
          <w:rFonts w:hint="eastAsia" w:ascii="仿宋" w:hAnsi="仿宋" w:eastAsia="仿宋" w:cs="仿宋_GB2312"/>
          <w:sz w:val="28"/>
          <w:szCs w:val="28"/>
          <w:lang w:eastAsia="zh-CN"/>
        </w:rPr>
        <w:t>现行</w:t>
      </w:r>
      <w:r>
        <w:rPr>
          <w:rFonts w:hint="eastAsia" w:ascii="仿宋" w:hAnsi="仿宋" w:eastAsia="仿宋" w:cs="仿宋_GB2312"/>
          <w:sz w:val="28"/>
          <w:szCs w:val="28"/>
        </w:rPr>
        <w:t>法律法规以及</w:t>
      </w:r>
      <w:r>
        <w:rPr>
          <w:rFonts w:hint="eastAsia" w:ascii="仿宋" w:hAnsi="仿宋" w:eastAsia="仿宋" w:cs="仿宋_GB2312"/>
          <w:sz w:val="28"/>
          <w:szCs w:val="28"/>
          <w:lang w:eastAsia="zh-CN"/>
        </w:rPr>
        <w:t>强制性</w:t>
      </w:r>
      <w:r>
        <w:rPr>
          <w:rFonts w:hint="eastAsia" w:ascii="仿宋" w:hAnsi="仿宋" w:eastAsia="仿宋" w:cs="仿宋_GB2312"/>
          <w:sz w:val="28"/>
          <w:szCs w:val="28"/>
        </w:rPr>
        <w:t>标准无任何抵触。</w:t>
      </w:r>
    </w:p>
    <w:p w14:paraId="09416AD3">
      <w:pPr>
        <w:rPr>
          <w:rFonts w:ascii="黑体" w:eastAsia="黑体"/>
          <w:b w:val="0"/>
          <w:sz w:val="32"/>
          <w:szCs w:val="32"/>
        </w:rPr>
      </w:pPr>
      <w:bookmarkStart w:id="21" w:name="_Toc177504658"/>
      <w:r>
        <w:rPr>
          <w:rFonts w:hint="eastAsia" w:ascii="黑体" w:eastAsia="黑体"/>
          <w:b w:val="0"/>
          <w:sz w:val="32"/>
          <w:szCs w:val="32"/>
        </w:rPr>
        <w:t xml:space="preserve">  </w:t>
      </w:r>
      <w:bookmarkEnd w:id="21"/>
      <w:bookmarkStart w:id="22" w:name="_Toc177504659"/>
      <w:r>
        <w:rPr>
          <w:rFonts w:hint="eastAsia" w:ascii="黑体" w:eastAsia="黑体"/>
          <w:b w:val="0"/>
          <w:sz w:val="32"/>
          <w:szCs w:val="32"/>
        </w:rPr>
        <w:t xml:space="preserve"> </w:t>
      </w:r>
      <w:r>
        <w:rPr>
          <w:rFonts w:hint="eastAsia" w:ascii="黑体" w:eastAsia="黑体"/>
          <w:b w:val="0"/>
          <w:sz w:val="32"/>
          <w:szCs w:val="32"/>
          <w:lang w:eastAsia="zh-CN"/>
        </w:rPr>
        <w:t>九</w:t>
      </w:r>
      <w:r>
        <w:rPr>
          <w:rFonts w:hint="eastAsia" w:ascii="黑体" w:eastAsia="黑体"/>
          <w:b w:val="0"/>
          <w:sz w:val="32"/>
          <w:szCs w:val="32"/>
        </w:rPr>
        <w:t>、涉及专利的有关说明</w:t>
      </w:r>
      <w:bookmarkEnd w:id="22"/>
    </w:p>
    <w:p w14:paraId="4EC67653">
      <w:pPr>
        <w:rPr>
          <w:rFonts w:ascii="仿宋" w:hAnsi="仿宋" w:eastAsia="仿宋"/>
          <w:sz w:val="28"/>
          <w:szCs w:val="28"/>
        </w:rPr>
      </w:pPr>
      <w:r>
        <w:rPr>
          <w:rFonts w:hint="eastAsia"/>
        </w:rPr>
        <w:t xml:space="preserve"> </w:t>
      </w:r>
      <w:r>
        <w:rPr>
          <w:rFonts w:hint="eastAsia" w:ascii="仿宋" w:hAnsi="仿宋" w:eastAsia="仿宋"/>
          <w:sz w:val="28"/>
          <w:szCs w:val="28"/>
        </w:rPr>
        <w:t xml:space="preserve">   本标准无涉及的专利。</w:t>
      </w:r>
    </w:p>
    <w:p w14:paraId="44DC0588">
      <w:pPr>
        <w:keepNext w:val="0"/>
        <w:keepLines w:val="0"/>
        <w:widowControl/>
        <w:suppressLineNumbers w:val="0"/>
        <w:jc w:val="left"/>
      </w:pPr>
      <w:bookmarkStart w:id="23" w:name="_Toc177504660"/>
      <w:r>
        <w:rPr>
          <w:rFonts w:hint="eastAsia" w:ascii="黑体" w:eastAsia="黑体"/>
          <w:b w:val="0"/>
          <w:sz w:val="32"/>
          <w:szCs w:val="32"/>
        </w:rPr>
        <w:t xml:space="preserve"> </w:t>
      </w:r>
      <w:bookmarkEnd w:id="23"/>
    </w:p>
    <w:p w14:paraId="205A0F85">
      <w:pPr>
        <w:rPr>
          <w:rFonts w:ascii="仿宋" w:hAnsi="仿宋" w:eastAsia="仿宋"/>
          <w:sz w:val="28"/>
          <w:szCs w:val="28"/>
        </w:rPr>
      </w:pPr>
    </w:p>
    <w:sectPr>
      <w:footerReference r:id="rId3"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2BBBDE-FE3D-4431-98DB-9115A2F940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CE8AB12-0895-4166-9F6F-0060D8F08AE1}"/>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3" w:fontKey="{5FEAA269-8776-400A-94FF-4702105FDC7F}"/>
  </w:font>
  <w:font w:name="仿宋">
    <w:panose1 w:val="02010609060101010101"/>
    <w:charset w:val="86"/>
    <w:family w:val="modern"/>
    <w:pitch w:val="default"/>
    <w:sig w:usb0="800002BF" w:usb1="38CF7CFA" w:usb2="00000016" w:usb3="00000000" w:csb0="00040001" w:csb1="00000000"/>
    <w:embedRegular r:id="rId4" w:fontKey="{6A3A39B7-7B1B-4DC5-9817-ED9EB30AADA6}"/>
  </w:font>
  <w:font w:name="楷体_GB2312">
    <w:altName w:val="楷体"/>
    <w:panose1 w:val="02010609030101010101"/>
    <w:charset w:val="86"/>
    <w:family w:val="modern"/>
    <w:pitch w:val="default"/>
    <w:sig w:usb0="00000000" w:usb1="00000000" w:usb2="00000000" w:usb3="00000000" w:csb0="00040000" w:csb1="00000000"/>
    <w:embedRegular r:id="rId5" w:fontKey="{B95AFD2D-E1E0-4889-96EE-6602E0B773CD}"/>
  </w:font>
  <w:font w:name="方正楷体_GBK">
    <w:panose1 w:val="02000000000000000000"/>
    <w:charset w:val="86"/>
    <w:family w:val="auto"/>
    <w:pitch w:val="default"/>
    <w:sig w:usb0="800002BF" w:usb1="38CF7CFA" w:usb2="00000016" w:usb3="00000000" w:csb0="00040000" w:csb1="00000000"/>
  </w:font>
  <w:font w:name="国标仿宋">
    <w:altName w:val="仿宋"/>
    <w:panose1 w:val="02000500000000000000"/>
    <w:charset w:val="86"/>
    <w:family w:val="auto"/>
    <w:pitch w:val="default"/>
    <w:sig w:usb0="00000000" w:usb1="00000000" w:usb2="00000016" w:usb3="00000000" w:csb0="00060007" w:csb1="00000000"/>
    <w:embedRegular r:id="rId6" w:fontKey="{A9852EC1-4D72-4466-A5F8-606273A0C613}"/>
  </w:font>
  <w:font w:name="仿宋_GB2312">
    <w:altName w:val="仿宋"/>
    <w:panose1 w:val="02010609030101010101"/>
    <w:charset w:val="86"/>
    <w:family w:val="modern"/>
    <w:pitch w:val="default"/>
    <w:sig w:usb0="00000000" w:usb1="00000000" w:usb2="00000010" w:usb3="00000000" w:csb0="00040000" w:csb1="00000000"/>
    <w:embedRegular r:id="rId7" w:fontKey="{CB62D491-0CA1-4711-9E90-23083D5E0769}"/>
  </w:font>
  <w:font w:name="方正仿宋_GBK">
    <w:altName w:val="Arial Unicode MS"/>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67E5C0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208665"/>
      <w:docPartObj>
        <w:docPartGallery w:val="autotext"/>
      </w:docPartObj>
    </w:sdtPr>
    <w:sdtContent>
      <w:p w14:paraId="5C1B1F2B">
        <w:pPr>
          <w:pStyle w:val="6"/>
          <w:jc w:val="center"/>
        </w:pPr>
        <w:r>
          <w:fldChar w:fldCharType="begin"/>
        </w:r>
        <w:r>
          <w:instrText xml:space="preserve"> PAGE   \* MERGEFORMAT </w:instrText>
        </w:r>
        <w:r>
          <w:fldChar w:fldCharType="separate"/>
        </w:r>
        <w:r>
          <w:rPr>
            <w:lang w:val="zh-CN"/>
          </w:rPr>
          <w:t>10</w:t>
        </w:r>
        <w:r>
          <w:rPr>
            <w:lang w:val="zh-CN"/>
          </w:rPr>
          <w:fldChar w:fldCharType="end"/>
        </w:r>
      </w:p>
    </w:sdtContent>
  </w:sdt>
  <w:p w14:paraId="63867150">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1"/>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12C"/>
    <w:rsid w:val="00001CD9"/>
    <w:rsid w:val="00007DED"/>
    <w:rsid w:val="000431A8"/>
    <w:rsid w:val="00047C04"/>
    <w:rsid w:val="000B67E9"/>
    <w:rsid w:val="000D7053"/>
    <w:rsid w:val="000F4BD5"/>
    <w:rsid w:val="00115114"/>
    <w:rsid w:val="00127EFC"/>
    <w:rsid w:val="00140BDA"/>
    <w:rsid w:val="00147517"/>
    <w:rsid w:val="00150624"/>
    <w:rsid w:val="00195A70"/>
    <w:rsid w:val="001C32A7"/>
    <w:rsid w:val="001D458C"/>
    <w:rsid w:val="001E2525"/>
    <w:rsid w:val="00275620"/>
    <w:rsid w:val="0029403A"/>
    <w:rsid w:val="002A412C"/>
    <w:rsid w:val="002B3747"/>
    <w:rsid w:val="002B77EF"/>
    <w:rsid w:val="002F5116"/>
    <w:rsid w:val="0030140C"/>
    <w:rsid w:val="0031490C"/>
    <w:rsid w:val="00354E2F"/>
    <w:rsid w:val="00375903"/>
    <w:rsid w:val="003823DF"/>
    <w:rsid w:val="003A1F14"/>
    <w:rsid w:val="003B6B0C"/>
    <w:rsid w:val="003C2131"/>
    <w:rsid w:val="003D4211"/>
    <w:rsid w:val="00400D38"/>
    <w:rsid w:val="00435DC0"/>
    <w:rsid w:val="004634D5"/>
    <w:rsid w:val="00480774"/>
    <w:rsid w:val="004D3BDB"/>
    <w:rsid w:val="004F6131"/>
    <w:rsid w:val="005513FE"/>
    <w:rsid w:val="005723E4"/>
    <w:rsid w:val="00575811"/>
    <w:rsid w:val="00576E7A"/>
    <w:rsid w:val="00590C12"/>
    <w:rsid w:val="0059750E"/>
    <w:rsid w:val="005A4465"/>
    <w:rsid w:val="006153C8"/>
    <w:rsid w:val="00652BDA"/>
    <w:rsid w:val="00667A48"/>
    <w:rsid w:val="006A1DCB"/>
    <w:rsid w:val="006D4FB8"/>
    <w:rsid w:val="006E54DD"/>
    <w:rsid w:val="006F2CA3"/>
    <w:rsid w:val="006F2D90"/>
    <w:rsid w:val="007176FC"/>
    <w:rsid w:val="00722CAB"/>
    <w:rsid w:val="007355EF"/>
    <w:rsid w:val="0074296D"/>
    <w:rsid w:val="00746958"/>
    <w:rsid w:val="007635EF"/>
    <w:rsid w:val="007C0443"/>
    <w:rsid w:val="007D4C2E"/>
    <w:rsid w:val="00817AD2"/>
    <w:rsid w:val="00843A4C"/>
    <w:rsid w:val="00850925"/>
    <w:rsid w:val="008827DF"/>
    <w:rsid w:val="008A09B5"/>
    <w:rsid w:val="008A168C"/>
    <w:rsid w:val="008B0DD0"/>
    <w:rsid w:val="008B7056"/>
    <w:rsid w:val="008D5076"/>
    <w:rsid w:val="008F1A80"/>
    <w:rsid w:val="0090408E"/>
    <w:rsid w:val="00980FA2"/>
    <w:rsid w:val="00982CBE"/>
    <w:rsid w:val="0098664A"/>
    <w:rsid w:val="00987201"/>
    <w:rsid w:val="009A691B"/>
    <w:rsid w:val="009B5C98"/>
    <w:rsid w:val="009D41B6"/>
    <w:rsid w:val="009F0344"/>
    <w:rsid w:val="009F6CBA"/>
    <w:rsid w:val="00A045FD"/>
    <w:rsid w:val="00A1068B"/>
    <w:rsid w:val="00A10B6B"/>
    <w:rsid w:val="00A2554C"/>
    <w:rsid w:val="00A72DF9"/>
    <w:rsid w:val="00A76575"/>
    <w:rsid w:val="00A76D43"/>
    <w:rsid w:val="00A8190E"/>
    <w:rsid w:val="00AB1088"/>
    <w:rsid w:val="00AC70F3"/>
    <w:rsid w:val="00B06946"/>
    <w:rsid w:val="00B16302"/>
    <w:rsid w:val="00B207A9"/>
    <w:rsid w:val="00B25950"/>
    <w:rsid w:val="00B3058A"/>
    <w:rsid w:val="00B378D3"/>
    <w:rsid w:val="00B43476"/>
    <w:rsid w:val="00B54DE7"/>
    <w:rsid w:val="00B648CE"/>
    <w:rsid w:val="00B7769C"/>
    <w:rsid w:val="00B86ECF"/>
    <w:rsid w:val="00B90AC2"/>
    <w:rsid w:val="00BA1BD7"/>
    <w:rsid w:val="00BC7204"/>
    <w:rsid w:val="00BD4A9E"/>
    <w:rsid w:val="00BE6E48"/>
    <w:rsid w:val="00C3063E"/>
    <w:rsid w:val="00C348BC"/>
    <w:rsid w:val="00C61C60"/>
    <w:rsid w:val="00C8568C"/>
    <w:rsid w:val="00D55E06"/>
    <w:rsid w:val="00D82261"/>
    <w:rsid w:val="00DC214D"/>
    <w:rsid w:val="00DE6243"/>
    <w:rsid w:val="00E03938"/>
    <w:rsid w:val="00E124F9"/>
    <w:rsid w:val="00E55A3C"/>
    <w:rsid w:val="00E57283"/>
    <w:rsid w:val="00E81282"/>
    <w:rsid w:val="00EB00CF"/>
    <w:rsid w:val="00EB5215"/>
    <w:rsid w:val="00EC5622"/>
    <w:rsid w:val="00F47787"/>
    <w:rsid w:val="00F65EB5"/>
    <w:rsid w:val="00F67D95"/>
    <w:rsid w:val="00F85EE2"/>
    <w:rsid w:val="00F871AD"/>
    <w:rsid w:val="024143A5"/>
    <w:rsid w:val="06493522"/>
    <w:rsid w:val="0CF4465E"/>
    <w:rsid w:val="0E09166B"/>
    <w:rsid w:val="103A3322"/>
    <w:rsid w:val="13AF41A9"/>
    <w:rsid w:val="1C716806"/>
    <w:rsid w:val="1D27311D"/>
    <w:rsid w:val="1E133F2C"/>
    <w:rsid w:val="21931C08"/>
    <w:rsid w:val="25002ECF"/>
    <w:rsid w:val="2D087A46"/>
    <w:rsid w:val="2D6F257E"/>
    <w:rsid w:val="49B51A7F"/>
    <w:rsid w:val="525866EF"/>
    <w:rsid w:val="5D0B1936"/>
    <w:rsid w:val="5E4A3DF6"/>
    <w:rsid w:val="65E07CA9"/>
    <w:rsid w:val="6E5E03F6"/>
    <w:rsid w:val="6FBC6359"/>
    <w:rsid w:val="755320D2"/>
    <w:rsid w:val="78EA0580"/>
    <w:rsid w:val="79CD2E7A"/>
    <w:rsid w:val="F3F75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6"/>
    <w:semiHidden/>
    <w:unhideWhenUsed/>
    <w:qFormat/>
    <w:uiPriority w:val="99"/>
    <w:pPr>
      <w:ind w:left="100" w:leftChars="2500"/>
    </w:pPr>
  </w:style>
  <w:style w:type="paragraph" w:styleId="5">
    <w:name w:val="Balloon Text"/>
    <w:basedOn w:val="1"/>
    <w:link w:val="20"/>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toc 2"/>
    <w:basedOn w:val="1"/>
    <w:next w:val="1"/>
    <w:autoRedefine/>
    <w:unhideWhenUsed/>
    <w:qFormat/>
    <w:uiPriority w:val="39"/>
    <w:pPr>
      <w:ind w:left="420" w:leftChars="200"/>
    </w:pPr>
  </w:style>
  <w:style w:type="table" w:styleId="11">
    <w:name w:val="Table Grid"/>
    <w:basedOn w:val="10"/>
    <w:qFormat/>
    <w:uiPriority w:val="59"/>
    <w:rPr>
      <w:rFonts w:eastAsia="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character" w:customStyle="1" w:styleId="16">
    <w:name w:val="日期 Char"/>
    <w:basedOn w:val="12"/>
    <w:link w:val="4"/>
    <w:semiHidden/>
    <w:qFormat/>
    <w:uiPriority w:val="99"/>
  </w:style>
  <w:style w:type="character" w:customStyle="1" w:styleId="17">
    <w:name w:val="标题 2 Char"/>
    <w:basedOn w:val="12"/>
    <w:link w:val="3"/>
    <w:qFormat/>
    <w:uiPriority w:val="0"/>
    <w:rPr>
      <w:rFonts w:asciiTheme="majorHAnsi" w:hAnsiTheme="majorHAnsi" w:eastAsiaTheme="majorEastAsia" w:cstheme="majorBidi"/>
      <w:b/>
      <w:bCs/>
      <w:sz w:val="32"/>
      <w:szCs w:val="32"/>
    </w:rPr>
  </w:style>
  <w:style w:type="character" w:customStyle="1" w:styleId="18">
    <w:name w:val="标题 1 Char"/>
    <w:basedOn w:val="12"/>
    <w:link w:val="2"/>
    <w:qFormat/>
    <w:uiPriority w:val="0"/>
    <w:rPr>
      <w:b/>
      <w:bCs/>
      <w:kern w:val="44"/>
      <w:sz w:val="44"/>
      <w:szCs w:val="44"/>
    </w:rPr>
  </w:style>
  <w:style w:type="paragraph" w:customStyle="1" w:styleId="1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0">
    <w:name w:val="批注框文本 Char"/>
    <w:basedOn w:val="12"/>
    <w:link w:val="5"/>
    <w:semiHidden/>
    <w:qFormat/>
    <w:uiPriority w:val="99"/>
    <w:rPr>
      <w:sz w:val="18"/>
      <w:szCs w:val="18"/>
    </w:rPr>
  </w:style>
  <w:style w:type="paragraph" w:customStyle="1" w:styleId="21">
    <w:name w:val="标准文件_章标题"/>
    <w:next w:val="22"/>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22">
    <w:name w:val="标准文件_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23">
    <w:name w:val="段"/>
    <w:basedOn w:val="1"/>
    <w:qFormat/>
    <w:uiPriority w:val="0"/>
    <w:pPr>
      <w:spacing w:line="240" w:lineRule="auto"/>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986A4583-BBC5-438B-9675-2E8FE8F1F86E}">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7</Pages>
  <Words>2576</Words>
  <Characters>2823</Characters>
  <Lines>43</Lines>
  <Paragraphs>12</Paragraphs>
  <TotalTime>4</TotalTime>
  <ScaleCrop>false</ScaleCrop>
  <LinksUpToDate>false</LinksUpToDate>
  <CharactersWithSpaces>2980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2025-10-24T15:11:00Z</dcterms:created>
  <dc:creator>Lenovo</dc:creator>
  <cp:lastModifiedBy>鸢尾花开</cp:lastModifiedBy>
  <dcterms:modified xsi:type="dcterms:W3CDTF">2026-08-21T03:35:59Z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eyJoZGlkIjoiNWJmZTEwYjg3YWE2NjhlNTA5MDgyMjY2MzFmMTJkNDIiLCJ1c2VySWQiOiI3MjM5MDYxNDIifQ==</vt:lpwstr>
  </property>
  <property fmtid="{D5CDD505-2E9C-101B-9397-08002B2CF9AE}" pid="3" name="KSOProductBuildVer">
    <vt:lpwstr>2052-12.1.0.28043</vt:lpwstr>
  </property>
  <property fmtid="{D5CDD505-2E9C-101B-9397-08002B2CF9AE}" pid="4" name="ICV">
    <vt:lpwstr>5B8D2864A2394B82B19C98AA8B9631AA_13</vt:lpwstr>
  </property>
</Properties>
</file>