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3A9E3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5E4D54D">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bookmarkStart w:id="100" w:name="_GoBack"/>
            <w:bookmarkEnd w:id="100"/>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26D7A9EA">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eastAsia="zh-CN"/>
              </w:rPr>
              <w:t>6</w:t>
            </w:r>
            <w:r>
              <w:rPr>
                <w:rFonts w:hint="eastAsia" w:ascii="黑体" w:hAnsi="黑体" w:eastAsia="黑体"/>
                <w:sz w:val="21"/>
                <w:szCs w:val="21"/>
                <w:lang w:val="en-US" w:eastAsia="zh-CN"/>
              </w:rPr>
              <w:t>7.140.10</w:t>
            </w:r>
            <w:r>
              <w:rPr>
                <w:rFonts w:ascii="黑体" w:hAnsi="黑体" w:eastAsia="黑体"/>
                <w:sz w:val="21"/>
                <w:szCs w:val="21"/>
              </w:rPr>
              <w:fldChar w:fldCharType="end"/>
            </w:r>
            <w:bookmarkEnd w:id="0"/>
          </w:p>
        </w:tc>
      </w:tr>
      <w:tr w14:paraId="2CC4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3FD2570">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5D1DA7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01921AE0">
                  <w:pPr>
                    <w:pStyle w:val="49"/>
                    <w:framePr w:wrap="notBeside" w:vAnchor="page" w:hAnchor="page" w:x="1372" w:y="568"/>
                    <w:ind w:left="420" w:right="624"/>
                    <w:rPr>
                      <w:rFonts w:hint="eastAsia"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lang w:eastAsia="zh-CN"/>
                    </w:rPr>
                    <w:t>S</w:t>
                  </w:r>
                  <w:r>
                    <w:rPr>
                      <w:rFonts w:hint="eastAsia"/>
                      <w:lang w:val="en-US" w:eastAsia="zh-CN"/>
                    </w:rPr>
                    <w:t>CPP</w:t>
                  </w:r>
                  <w:r>
                    <w:fldChar w:fldCharType="end"/>
                  </w:r>
                  <w:bookmarkEnd w:id="1"/>
                </w:p>
              </w:tc>
            </w:tr>
          </w:tbl>
          <w:p w14:paraId="559E1628">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lang w:val="en-US" w:eastAsia="zh-CN"/>
              </w:rPr>
              <w:t>X 55</w:t>
            </w:r>
            <w:r>
              <w:rPr>
                <w:rFonts w:ascii="黑体" w:hAnsi="黑体" w:eastAsia="黑体"/>
                <w:sz w:val="21"/>
                <w:szCs w:val="21"/>
              </w:rPr>
              <w:fldChar w:fldCharType="end"/>
            </w:r>
            <w:bookmarkEnd w:id="2"/>
          </w:p>
        </w:tc>
      </w:tr>
    </w:tbl>
    <w:p w14:paraId="161BCF4A">
      <w:pPr>
        <w:pStyle w:val="50"/>
        <w:framePr w:w="9639" w:h="624" w:hRule="exact" w:hSpace="181" w:vSpace="181" w:wrap="around" w:hAnchor="page" w:x="1305" w:y="2269"/>
        <w:rPr>
          <w:rFonts w:hint="eastAsia" w:ascii="黑体" w:hAnsi="黑体" w:eastAsia="黑体"/>
          <w:b w:val="0"/>
          <w:bCs w:val="0"/>
          <w:w w:val="100"/>
          <w:sz w:val="48"/>
          <w:szCs w:val="48"/>
        </w:rPr>
      </w:pPr>
      <w:bookmarkStart w:id="3" w:name="_Hlk26473981"/>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43EC1316">
      <w:pPr>
        <w:pStyle w:val="196"/>
      </w:pPr>
      <w:r>
        <w:t>T/</w:t>
      </w:r>
      <w:r>
        <w:fldChar w:fldCharType="begin">
          <w:ffData>
            <w:name w:val="文字1"/>
            <w:enabled/>
            <w:calcOnExit w:val="0"/>
            <w:textInput>
              <w:default w:val="XXX"/>
            </w:textInput>
          </w:ffData>
        </w:fldChar>
      </w:r>
      <w:bookmarkStart w:id="4" w:name="文字1"/>
      <w:r>
        <w:instrText xml:space="preserve"> FORMTEXT </w:instrText>
      </w:r>
      <w:r>
        <w:fldChar w:fldCharType="separate"/>
      </w:r>
      <w:r>
        <w:t>XXX</w:t>
      </w:r>
      <w:r>
        <w:fldChar w:fldCharType="end"/>
      </w:r>
      <w:bookmarkEnd w:id="4"/>
      <w:r>
        <w:t xml:space="preserve"> </w:t>
      </w:r>
      <w:r>
        <w:fldChar w:fldCharType="begin">
          <w:ffData>
            <w:name w:val="NSTD_CODE_F"/>
            <w:enabled/>
            <w:calcOnExit w:val="0"/>
            <w:textInput>
              <w:default w:val="XXXX"/>
            </w:textInput>
          </w:ffData>
        </w:fldChar>
      </w:r>
      <w:bookmarkStart w:id="5" w:name="NSTD_CODE_F"/>
      <w:r>
        <w:instrText xml:space="preserve"> FORMTEXT </w:instrText>
      </w:r>
      <w:r>
        <w:fldChar w:fldCharType="separate"/>
      </w:r>
      <w:r>
        <w:t>XXXX</w:t>
      </w:r>
      <w:r>
        <w:fldChar w:fldCharType="end"/>
      </w:r>
      <w:bookmarkEnd w:id="5"/>
      <w:r>
        <w:rPr>
          <w:rFonts w:hAnsi="黑体"/>
        </w:rPr>
        <w:t>—</w:t>
      </w:r>
      <w:r>
        <w:fldChar w:fldCharType="begin">
          <w:ffData>
            <w:name w:val="NSTD_CODE_B"/>
            <w:enabled/>
            <w:calcOnExit w:val="0"/>
            <w:textInput>
              <w:default w:val="XXXX"/>
            </w:textInput>
          </w:ffData>
        </w:fldChar>
      </w:r>
      <w:bookmarkStart w:id="6" w:name="NSTD_CODE_B"/>
      <w:r>
        <w:instrText xml:space="preserve"> FORMTEXT </w:instrText>
      </w:r>
      <w:r>
        <w:fldChar w:fldCharType="separate"/>
      </w:r>
      <w:r>
        <w:t>XXXX</w:t>
      </w:r>
      <w:r>
        <w:fldChar w:fldCharType="end"/>
      </w:r>
      <w:bookmarkEnd w:id="6"/>
    </w:p>
    <w:p w14:paraId="52A51E97">
      <w:pPr>
        <w:pStyle w:val="197"/>
        <w:rPr>
          <w:rFonts w:hint="eastAsia" w:hAnsi="黑体"/>
        </w:rPr>
      </w:pPr>
      <w:r>
        <w:rPr>
          <w:rFonts w:hAnsi="黑体"/>
        </w:rPr>
        <w:fldChar w:fldCharType="begin">
          <w:ffData>
            <w:name w:val="OSTD_CODE"/>
            <w:enabled/>
            <w:calcOnExit w:val="0"/>
            <w:textInput/>
          </w:ffData>
        </w:fldChar>
      </w:r>
      <w:bookmarkStart w:id="7"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7"/>
    </w:p>
    <w:p w14:paraId="23935A67">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6FFE932">
      <w:pPr>
        <w:pStyle w:val="50"/>
        <w:framePr w:w="9639" w:h="6976" w:hRule="exact" w:hSpace="0" w:vSpace="0" w:wrap="around" w:hAnchor="page" w:y="6408"/>
        <w:jc w:val="center"/>
        <w:rPr>
          <w:rFonts w:hint="eastAsia" w:ascii="黑体" w:hAnsi="黑体" w:eastAsia="黑体"/>
          <w:b w:val="0"/>
          <w:bCs w:val="0"/>
          <w:w w:val="100"/>
        </w:rPr>
      </w:pPr>
    </w:p>
    <w:p w14:paraId="02A223D2">
      <w:pPr>
        <w:pStyle w:val="198"/>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8" w:name="CSTD_NAME"/>
      <w:r>
        <w:instrText xml:space="preserve"> FORMTEXT </w:instrText>
      </w:r>
      <w:r>
        <w:fldChar w:fldCharType="separate"/>
      </w:r>
      <w:r>
        <w:rPr>
          <w:rFonts w:hint="eastAsia"/>
          <w:lang w:eastAsia="zh-CN"/>
        </w:rPr>
        <w:t>抹茶</w:t>
      </w:r>
      <w:r>
        <w:fldChar w:fldCharType="end"/>
      </w:r>
      <w:bookmarkEnd w:id="8"/>
    </w:p>
    <w:p w14:paraId="2144DE0C">
      <w:pPr>
        <w:framePr w:w="9639" w:h="6974" w:hRule="exact" w:wrap="around" w:vAnchor="page" w:hAnchor="page" w:x="1419" w:y="6408" w:anchorLock="1"/>
        <w:ind w:left="-1418"/>
      </w:pPr>
    </w:p>
    <w:p w14:paraId="6A073306">
      <w:pPr>
        <w:pStyle w:val="126"/>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9" w:name="ESTD_NAME"/>
      <w:r>
        <w:rPr>
          <w:rFonts w:eastAsia="黑体"/>
          <w:szCs w:val="28"/>
        </w:rPr>
        <w:instrText xml:space="preserve"> FORMTEXT </w:instrText>
      </w:r>
      <w:r>
        <w:rPr>
          <w:rFonts w:eastAsia="黑体"/>
          <w:szCs w:val="28"/>
        </w:rPr>
        <w:fldChar w:fldCharType="separate"/>
      </w:r>
      <w:r>
        <w:rPr>
          <w:rFonts w:hint="eastAsia" w:eastAsia="黑体"/>
          <w:szCs w:val="28"/>
          <w:lang w:eastAsia="zh-CN"/>
        </w:rPr>
        <w:t>M</w:t>
      </w:r>
      <w:r>
        <w:rPr>
          <w:rFonts w:hint="eastAsia" w:eastAsia="黑体"/>
          <w:szCs w:val="28"/>
          <w:lang w:val="en-US" w:eastAsia="zh-CN"/>
        </w:rPr>
        <w:t>atcha</w:t>
      </w:r>
      <w:r>
        <w:rPr>
          <w:rFonts w:eastAsia="黑体"/>
          <w:szCs w:val="28"/>
        </w:rPr>
        <w:fldChar w:fldCharType="end"/>
      </w:r>
      <w:bookmarkEnd w:id="9"/>
    </w:p>
    <w:p w14:paraId="313D54A8">
      <w:pPr>
        <w:framePr w:w="9639" w:h="6974" w:hRule="exact" w:wrap="around" w:vAnchor="page" w:hAnchor="page" w:x="1419" w:y="6408" w:anchorLock="1"/>
        <w:spacing w:line="760" w:lineRule="exact"/>
        <w:ind w:left="-1418"/>
      </w:pPr>
    </w:p>
    <w:p w14:paraId="18E584F4">
      <w:pPr>
        <w:pStyle w:val="126"/>
        <w:framePr w:w="9639" w:h="6974" w:hRule="exact" w:wrap="around" w:vAnchor="page" w:hAnchor="page" w:x="1419" w:y="6408" w:anchorLock="1"/>
        <w:textAlignment w:val="bottom"/>
        <w:rPr>
          <w:rFonts w:eastAsia="黑体"/>
          <w:szCs w:val="28"/>
        </w:rPr>
      </w:pPr>
    </w:p>
    <w:p w14:paraId="382A48E7">
      <w:pPr>
        <w:pStyle w:val="126"/>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0" w:name="下拉1"/>
      <w:r>
        <w:rPr>
          <w:sz w:val="24"/>
          <w:szCs w:val="28"/>
        </w:rPr>
        <w:instrText xml:space="preserve"> FORMDROPDOWN </w:instrText>
      </w:r>
      <w:r>
        <w:rPr>
          <w:sz w:val="24"/>
          <w:szCs w:val="28"/>
        </w:rPr>
        <w:fldChar w:fldCharType="separate"/>
      </w:r>
      <w:r>
        <w:rPr>
          <w:sz w:val="24"/>
          <w:szCs w:val="28"/>
        </w:rPr>
        <w:fldChar w:fldCharType="end"/>
      </w:r>
      <w:bookmarkEnd w:id="10"/>
    </w:p>
    <w:p w14:paraId="493B8B9A">
      <w:pPr>
        <w:pStyle w:val="126"/>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1"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1"/>
    </w:p>
    <w:p w14:paraId="0C6769F1">
      <w:pPr>
        <w:pStyle w:val="126"/>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2" w:name="下拉2"/>
      <w:r>
        <w:rPr>
          <w:b/>
          <w:sz w:val="21"/>
          <w:szCs w:val="28"/>
        </w:rPr>
        <w:instrText xml:space="preserve"> FORMDROPDOWN </w:instrText>
      </w:r>
      <w:r>
        <w:rPr>
          <w:b/>
          <w:sz w:val="21"/>
          <w:szCs w:val="28"/>
        </w:rPr>
        <w:fldChar w:fldCharType="separate"/>
      </w:r>
      <w:r>
        <w:rPr>
          <w:b/>
          <w:sz w:val="21"/>
          <w:szCs w:val="28"/>
        </w:rPr>
        <w:fldChar w:fldCharType="end"/>
      </w:r>
      <w:bookmarkEnd w:id="12"/>
    </w:p>
    <w:p w14:paraId="7657F19A">
      <w:pPr>
        <w:pStyle w:val="194"/>
        <w:framePr w:wrap="around" w:y="14176"/>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发布</w:t>
      </w:r>
    </w:p>
    <w:p w14:paraId="26DCA3D9">
      <w:pPr>
        <w:pStyle w:val="195"/>
        <w:framePr w:wrap="around"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6"/>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hint="eastAsia"/>
        </w:rPr>
        <w:t>实施</w:t>
      </w:r>
    </w:p>
    <w:p w14:paraId="79867BE4">
      <w:pPr>
        <w:pStyle w:val="152"/>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19" w:name="fm"/>
      <w:r>
        <w:rPr>
          <w:rFonts w:hAnsi="黑体"/>
          <w:w w:val="100"/>
          <w:sz w:val="28"/>
        </w:rPr>
        <w:instrText xml:space="preserve"> FORMTEXT </w:instrText>
      </w:r>
      <w:r>
        <w:rPr>
          <w:rFonts w:hAnsi="黑体"/>
          <w:w w:val="100"/>
          <w:sz w:val="28"/>
        </w:rPr>
        <w:fldChar w:fldCharType="separate"/>
      </w:r>
      <w:r>
        <w:rPr>
          <w:rFonts w:hint="eastAsia" w:hAnsi="黑体"/>
          <w:w w:val="100"/>
          <w:sz w:val="28"/>
          <w:lang w:eastAsia="zh-CN"/>
        </w:rPr>
        <w:t>四川省品牌建设促进会</w:t>
      </w:r>
      <w:r>
        <w:rPr>
          <w:rFonts w:hAnsi="黑体"/>
          <w:w w:val="100"/>
          <w:sz w:val="28"/>
        </w:rPr>
        <w:fldChar w:fldCharType="end"/>
      </w:r>
      <w:bookmarkEnd w:id="19"/>
      <w:r>
        <w:rPr>
          <w:rFonts w:ascii="Times New Roman"/>
          <w:w w:val="100"/>
          <w:sz w:val="28"/>
        </w:rPr>
        <w:t>  </w:t>
      </w:r>
      <w:r>
        <w:rPr>
          <w:rStyle w:val="230"/>
          <w:rFonts w:hint="eastAsia" w:hAnsi="黑体"/>
          <w:position w:val="0"/>
        </w:rPr>
        <w:t>发</w:t>
      </w:r>
      <w:r>
        <w:rPr>
          <w:rStyle w:val="230"/>
          <w:rFonts w:hint="eastAsia" w:hAnsi="黑体"/>
          <w:spacing w:val="0"/>
          <w:position w:val="0"/>
        </w:rPr>
        <w:t>布</w:t>
      </w:r>
    </w:p>
    <w:p w14:paraId="374BE5A5">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678C3A02">
      <w:pPr>
        <w:pStyle w:val="91"/>
        <w:bidi w:val="0"/>
        <w:rPr>
          <w:rFonts w:hint="eastAsia"/>
          <w:lang w:eastAsia="zh-CN"/>
        </w:rPr>
      </w:pPr>
      <w:bookmarkStart w:id="20" w:name="BookMark1"/>
      <w:bookmarkStart w:id="21" w:name="_Toc26641"/>
      <w:r>
        <w:rPr>
          <w:rFonts w:hint="eastAsia"/>
          <w:spacing w:val="320"/>
          <w:lang w:eastAsia="zh-CN"/>
        </w:rPr>
        <w:t>目</w:t>
      </w:r>
      <w:r>
        <w:rPr>
          <w:rFonts w:hint="eastAsia"/>
          <w:lang w:eastAsia="zh-CN"/>
        </w:rPr>
        <w:t>次</w:t>
      </w:r>
    </w:p>
    <w:p w14:paraId="57606078">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TOC \o "1-1" \t "标准文件_一级条标题,2,标准文件_附录一级条标题,2," \h</w:instrText>
      </w:r>
      <w:r>
        <w:rPr>
          <w:rFonts w:hint="eastAsia"/>
          <w:spacing w:val="0"/>
          <w:lang w:eastAsia="zh-CN"/>
        </w:rPr>
        <w:fldChar w:fldCharType="separate"/>
      </w:r>
      <w:r>
        <w:rPr>
          <w:rFonts w:hint="eastAsia"/>
          <w:spacing w:val="0"/>
          <w:lang w:eastAsia="zh-CN"/>
        </w:rPr>
        <w:fldChar w:fldCharType="begin"/>
      </w:r>
      <w:r>
        <w:rPr>
          <w:rFonts w:hint="eastAsia"/>
          <w:spacing w:val="0"/>
          <w:lang w:eastAsia="zh-CN"/>
        </w:rPr>
        <w:instrText xml:space="preserve"> HYPERLINK \l _Toc4420 </w:instrText>
      </w:r>
      <w:r>
        <w:rPr>
          <w:rFonts w:hint="eastAsia"/>
          <w:spacing w:val="0"/>
          <w:lang w:eastAsia="zh-CN"/>
        </w:rPr>
        <w:fldChar w:fldCharType="separate"/>
      </w:r>
      <w:r>
        <w:rPr>
          <w:rFonts w:hint="eastAsia"/>
          <w:spacing w:val="0"/>
          <w:lang w:eastAsia="zh-CN"/>
        </w:rPr>
        <w:t>前言</w:t>
      </w:r>
      <w:r>
        <w:rPr>
          <w:spacing w:val="0"/>
        </w:rPr>
        <w:tab/>
      </w:r>
      <w:r>
        <w:rPr>
          <w:spacing w:val="0"/>
        </w:rPr>
        <w:fldChar w:fldCharType="begin"/>
      </w:r>
      <w:r>
        <w:rPr>
          <w:spacing w:val="0"/>
        </w:rPr>
        <w:instrText xml:space="preserve"> PAGEREF _Toc4420 \h </w:instrText>
      </w:r>
      <w:r>
        <w:rPr>
          <w:spacing w:val="0"/>
        </w:rPr>
        <w:fldChar w:fldCharType="separate"/>
      </w:r>
      <w:r>
        <w:rPr>
          <w:spacing w:val="0"/>
        </w:rPr>
        <w:t>II</w:t>
      </w:r>
      <w:r>
        <w:rPr>
          <w:spacing w:val="0"/>
        </w:rPr>
        <w:fldChar w:fldCharType="end"/>
      </w:r>
      <w:r>
        <w:rPr>
          <w:rFonts w:hint="eastAsia"/>
          <w:spacing w:val="0"/>
          <w:lang w:eastAsia="zh-CN"/>
        </w:rPr>
        <w:fldChar w:fldCharType="end"/>
      </w:r>
    </w:p>
    <w:p w14:paraId="52CFA14A">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_Toc7923 </w:instrText>
      </w:r>
      <w:r>
        <w:rPr>
          <w:rFonts w:hint="eastAsia"/>
          <w:spacing w:val="0"/>
          <w:lang w:eastAsia="zh-CN"/>
        </w:rPr>
        <w:fldChar w:fldCharType="separate"/>
      </w:r>
      <w:r>
        <w:rPr>
          <w:rFonts w:hint="eastAsia" w:ascii="黑体" w:eastAsia="黑体"/>
          <w:i w:val="0"/>
          <w:spacing w:val="0"/>
        </w:rPr>
        <w:t>1</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范围</w:t>
      </w:r>
      <w:r>
        <w:rPr>
          <w:spacing w:val="0"/>
        </w:rPr>
        <w:tab/>
      </w:r>
      <w:r>
        <w:rPr>
          <w:spacing w:val="0"/>
        </w:rPr>
        <w:fldChar w:fldCharType="begin"/>
      </w:r>
      <w:r>
        <w:rPr>
          <w:spacing w:val="0"/>
        </w:rPr>
        <w:instrText xml:space="preserve"> PAGEREF _Toc7923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71CB8FC7">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_Toc16814 </w:instrText>
      </w:r>
      <w:r>
        <w:rPr>
          <w:rFonts w:hint="eastAsia"/>
          <w:spacing w:val="0"/>
          <w:lang w:eastAsia="zh-CN"/>
        </w:rPr>
        <w:fldChar w:fldCharType="separate"/>
      </w:r>
      <w:r>
        <w:rPr>
          <w:rFonts w:hint="eastAsia" w:ascii="黑体" w:eastAsia="黑体"/>
          <w:i w:val="0"/>
          <w:spacing w:val="0"/>
        </w:rPr>
        <w:t>2</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rPr>
        <w:t>规范性引用文件</w:t>
      </w:r>
      <w:r>
        <w:rPr>
          <w:spacing w:val="0"/>
        </w:rPr>
        <w:tab/>
      </w:r>
      <w:r>
        <w:rPr>
          <w:spacing w:val="0"/>
        </w:rPr>
        <w:fldChar w:fldCharType="begin"/>
      </w:r>
      <w:r>
        <w:rPr>
          <w:spacing w:val="0"/>
        </w:rPr>
        <w:instrText xml:space="preserve"> PAGEREF _Toc16814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4A08B852">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_Toc339 </w:instrText>
      </w:r>
      <w:r>
        <w:rPr>
          <w:rFonts w:hint="eastAsia"/>
          <w:spacing w:val="0"/>
          <w:lang w:eastAsia="zh-CN"/>
        </w:rPr>
        <w:fldChar w:fldCharType="separate"/>
      </w:r>
      <w:r>
        <w:rPr>
          <w:rFonts w:hint="eastAsia" w:ascii="黑体" w:eastAsia="黑体"/>
          <w:i w:val="0"/>
          <w:spacing w:val="0"/>
        </w:rPr>
        <w:t>3</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szCs w:val="21"/>
        </w:rPr>
        <w:t>术语和定义</w:t>
      </w:r>
      <w:r>
        <w:rPr>
          <w:spacing w:val="0"/>
        </w:rPr>
        <w:tab/>
      </w:r>
      <w:r>
        <w:rPr>
          <w:spacing w:val="0"/>
        </w:rPr>
        <w:fldChar w:fldCharType="begin"/>
      </w:r>
      <w:r>
        <w:rPr>
          <w:spacing w:val="0"/>
        </w:rPr>
        <w:instrText xml:space="preserve"> PAGEREF _Toc339 \h </w:instrText>
      </w:r>
      <w:r>
        <w:rPr>
          <w:spacing w:val="0"/>
        </w:rPr>
        <w:fldChar w:fldCharType="separate"/>
      </w:r>
      <w:r>
        <w:rPr>
          <w:spacing w:val="0"/>
        </w:rPr>
        <w:t>1</w:t>
      </w:r>
      <w:r>
        <w:rPr>
          <w:spacing w:val="0"/>
        </w:rPr>
        <w:fldChar w:fldCharType="end"/>
      </w:r>
      <w:r>
        <w:rPr>
          <w:rFonts w:hint="eastAsia"/>
          <w:spacing w:val="0"/>
          <w:lang w:eastAsia="zh-CN"/>
        </w:rPr>
        <w:fldChar w:fldCharType="end"/>
      </w:r>
    </w:p>
    <w:p w14:paraId="7F950313">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_Toc26967 </w:instrText>
      </w:r>
      <w:r>
        <w:rPr>
          <w:rFonts w:hint="eastAsia"/>
          <w:spacing w:val="0"/>
          <w:lang w:eastAsia="zh-CN"/>
        </w:rPr>
        <w:fldChar w:fldCharType="separate"/>
      </w:r>
      <w:r>
        <w:rPr>
          <w:rFonts w:hint="eastAsia" w:ascii="黑体" w:eastAsia="黑体"/>
          <w:i w:val="0"/>
          <w:spacing w:val="0"/>
        </w:rPr>
        <w:t>4</w:t>
      </w:r>
      <w:r>
        <w:rPr>
          <w:rFonts w:hint="eastAsia" w:ascii="黑体" w:eastAsia="黑体"/>
          <w:i w:val="0"/>
          <w:spacing w:val="0"/>
          <w:lang w:eastAsia="zh-CN"/>
        </w:rPr>
        <w:t xml:space="preserve"> </w:t>
      </w:r>
      <w:r>
        <w:rPr>
          <w:rFonts w:hint="eastAsia" w:ascii="黑体" w:eastAsia="黑体"/>
          <w:i w:val="0"/>
          <w:spacing w:val="0"/>
        </w:rPr>
        <w:t xml:space="preserve"> </w:t>
      </w:r>
      <w:r>
        <w:rPr>
          <w:rFonts w:hint="eastAsia"/>
          <w:spacing w:val="0"/>
          <w:lang w:val="en-US" w:eastAsia="zh-CN"/>
        </w:rPr>
        <w:t>产品要求</w:t>
      </w:r>
      <w:r>
        <w:rPr>
          <w:spacing w:val="0"/>
        </w:rPr>
        <w:tab/>
      </w:r>
      <w:r>
        <w:rPr>
          <w:spacing w:val="0"/>
        </w:rPr>
        <w:fldChar w:fldCharType="begin"/>
      </w:r>
      <w:r>
        <w:rPr>
          <w:spacing w:val="0"/>
        </w:rPr>
        <w:instrText xml:space="preserve"> PAGEREF _Toc26967 \h </w:instrText>
      </w:r>
      <w:r>
        <w:rPr>
          <w:spacing w:val="0"/>
        </w:rPr>
        <w:fldChar w:fldCharType="separate"/>
      </w:r>
      <w:r>
        <w:rPr>
          <w:spacing w:val="0"/>
        </w:rPr>
        <w:t>2</w:t>
      </w:r>
      <w:r>
        <w:rPr>
          <w:spacing w:val="0"/>
        </w:rPr>
        <w:fldChar w:fldCharType="end"/>
      </w:r>
      <w:r>
        <w:rPr>
          <w:rFonts w:hint="eastAsia"/>
          <w:spacing w:val="0"/>
          <w:lang w:eastAsia="zh-CN"/>
        </w:rPr>
        <w:fldChar w:fldCharType="end"/>
      </w:r>
    </w:p>
    <w:p w14:paraId="75D55D6F">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_Toc8486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4.1</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spacing w:val="0"/>
        </w:rPr>
        <w:t>基本要求</w:t>
      </w:r>
      <w:r>
        <w:rPr>
          <w:spacing w:val="0"/>
        </w:rPr>
        <w:tab/>
      </w:r>
      <w:r>
        <w:rPr>
          <w:spacing w:val="0"/>
        </w:rPr>
        <w:fldChar w:fldCharType="begin"/>
      </w:r>
      <w:r>
        <w:rPr>
          <w:spacing w:val="0"/>
        </w:rPr>
        <w:instrText xml:space="preserve"> PAGEREF _Toc8486 \h </w:instrText>
      </w:r>
      <w:r>
        <w:rPr>
          <w:spacing w:val="0"/>
        </w:rPr>
        <w:fldChar w:fldCharType="separate"/>
      </w:r>
      <w:r>
        <w:rPr>
          <w:spacing w:val="0"/>
        </w:rPr>
        <w:t>2</w:t>
      </w:r>
      <w:r>
        <w:rPr>
          <w:spacing w:val="0"/>
        </w:rPr>
        <w:fldChar w:fldCharType="end"/>
      </w:r>
      <w:r>
        <w:rPr>
          <w:rFonts w:hint="eastAsia"/>
          <w:spacing w:val="0"/>
          <w:lang w:eastAsia="zh-CN"/>
        </w:rPr>
        <w:fldChar w:fldCharType="end"/>
      </w:r>
    </w:p>
    <w:p w14:paraId="657E0B8A">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_Toc15383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4.2</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val="en-US" w:eastAsia="zh-CN"/>
        </w:rPr>
        <w:t>感官要求</w:t>
      </w:r>
      <w:r>
        <w:rPr>
          <w:spacing w:val="0"/>
        </w:rPr>
        <w:tab/>
      </w:r>
      <w:r>
        <w:rPr>
          <w:spacing w:val="0"/>
        </w:rPr>
        <w:fldChar w:fldCharType="begin"/>
      </w:r>
      <w:r>
        <w:rPr>
          <w:spacing w:val="0"/>
        </w:rPr>
        <w:instrText xml:space="preserve"> PAGEREF _Toc15383 \h </w:instrText>
      </w:r>
      <w:r>
        <w:rPr>
          <w:spacing w:val="0"/>
        </w:rPr>
        <w:fldChar w:fldCharType="separate"/>
      </w:r>
      <w:r>
        <w:rPr>
          <w:spacing w:val="0"/>
        </w:rPr>
        <w:t>2</w:t>
      </w:r>
      <w:r>
        <w:rPr>
          <w:spacing w:val="0"/>
        </w:rPr>
        <w:fldChar w:fldCharType="end"/>
      </w:r>
      <w:r>
        <w:rPr>
          <w:rFonts w:hint="eastAsia"/>
          <w:spacing w:val="0"/>
          <w:lang w:eastAsia="zh-CN"/>
        </w:rPr>
        <w:fldChar w:fldCharType="end"/>
      </w:r>
    </w:p>
    <w:p w14:paraId="6FAD0F7A">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_Toc11868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4.3</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val="en-US" w:eastAsia="zh-CN"/>
        </w:rPr>
        <w:t>理化指标</w:t>
      </w:r>
      <w:r>
        <w:rPr>
          <w:spacing w:val="0"/>
        </w:rPr>
        <w:tab/>
      </w:r>
      <w:r>
        <w:rPr>
          <w:spacing w:val="0"/>
        </w:rPr>
        <w:fldChar w:fldCharType="begin"/>
      </w:r>
      <w:r>
        <w:rPr>
          <w:spacing w:val="0"/>
        </w:rPr>
        <w:instrText xml:space="preserve"> PAGEREF _Toc11868 \h </w:instrText>
      </w:r>
      <w:r>
        <w:rPr>
          <w:spacing w:val="0"/>
        </w:rPr>
        <w:fldChar w:fldCharType="separate"/>
      </w:r>
      <w:r>
        <w:rPr>
          <w:spacing w:val="0"/>
        </w:rPr>
        <w:t>2</w:t>
      </w:r>
      <w:r>
        <w:rPr>
          <w:spacing w:val="0"/>
        </w:rPr>
        <w:fldChar w:fldCharType="end"/>
      </w:r>
      <w:r>
        <w:rPr>
          <w:rFonts w:hint="eastAsia"/>
          <w:spacing w:val="0"/>
          <w:lang w:eastAsia="zh-CN"/>
        </w:rPr>
        <w:fldChar w:fldCharType="end"/>
      </w:r>
    </w:p>
    <w:p w14:paraId="2D31B710">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_Toc12207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4.4  </w:t>
      </w:r>
      <w:r>
        <w:rPr>
          <w:rFonts w:hint="eastAsia"/>
          <w:spacing w:val="0"/>
          <w:lang w:val="en-US" w:eastAsia="zh-CN"/>
        </w:rPr>
        <w:t>安全指标</w:t>
      </w:r>
      <w:r>
        <w:rPr>
          <w:spacing w:val="0"/>
        </w:rPr>
        <w:tab/>
      </w:r>
      <w:r>
        <w:rPr>
          <w:spacing w:val="0"/>
        </w:rPr>
        <w:fldChar w:fldCharType="begin"/>
      </w:r>
      <w:r>
        <w:rPr>
          <w:spacing w:val="0"/>
        </w:rPr>
        <w:instrText xml:space="preserve"> PAGEREF _Toc12207 \h </w:instrText>
      </w:r>
      <w:r>
        <w:rPr>
          <w:spacing w:val="0"/>
        </w:rPr>
        <w:fldChar w:fldCharType="separate"/>
      </w:r>
      <w:r>
        <w:rPr>
          <w:spacing w:val="0"/>
        </w:rPr>
        <w:t>2</w:t>
      </w:r>
      <w:r>
        <w:rPr>
          <w:spacing w:val="0"/>
        </w:rPr>
        <w:fldChar w:fldCharType="end"/>
      </w:r>
      <w:r>
        <w:rPr>
          <w:rFonts w:hint="eastAsia"/>
          <w:spacing w:val="0"/>
          <w:lang w:eastAsia="zh-CN"/>
        </w:rPr>
        <w:fldChar w:fldCharType="end"/>
      </w:r>
    </w:p>
    <w:p w14:paraId="7747E1FD">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_Toc32509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4.5  </w:t>
      </w:r>
      <w:r>
        <w:rPr>
          <w:rFonts w:hint="eastAsia"/>
          <w:spacing w:val="0"/>
          <w:lang w:val="en-US" w:eastAsia="zh-CN"/>
        </w:rPr>
        <w:t>净含量</w:t>
      </w:r>
      <w:r>
        <w:rPr>
          <w:spacing w:val="0"/>
        </w:rPr>
        <w:tab/>
      </w:r>
      <w:r>
        <w:rPr>
          <w:spacing w:val="0"/>
        </w:rPr>
        <w:fldChar w:fldCharType="begin"/>
      </w:r>
      <w:r>
        <w:rPr>
          <w:spacing w:val="0"/>
        </w:rPr>
        <w:instrText xml:space="preserve"> PAGEREF _Toc32509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186D8300">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_Toc17455 </w:instrText>
      </w:r>
      <w:r>
        <w:rPr>
          <w:rFonts w:hint="eastAsia"/>
          <w:spacing w:val="0"/>
          <w:lang w:eastAsia="zh-CN"/>
        </w:rPr>
        <w:fldChar w:fldCharType="separate"/>
      </w:r>
      <w:r>
        <w:rPr>
          <w:rFonts w:hint="eastAsia" w:ascii="黑体" w:eastAsia="黑体"/>
          <w:i w:val="0"/>
          <w:spacing w:val="0"/>
          <w:lang w:val="en-US" w:eastAsia="zh-CN"/>
        </w:rPr>
        <w:t xml:space="preserve">5  </w:t>
      </w:r>
      <w:r>
        <w:rPr>
          <w:rFonts w:hint="eastAsia"/>
          <w:spacing w:val="0"/>
          <w:lang w:val="en-US" w:eastAsia="zh-CN"/>
        </w:rPr>
        <w:t>检验方法</w:t>
      </w:r>
      <w:r>
        <w:rPr>
          <w:spacing w:val="0"/>
        </w:rPr>
        <w:tab/>
      </w:r>
      <w:r>
        <w:rPr>
          <w:spacing w:val="0"/>
        </w:rPr>
        <w:fldChar w:fldCharType="begin"/>
      </w:r>
      <w:r>
        <w:rPr>
          <w:spacing w:val="0"/>
        </w:rPr>
        <w:instrText xml:space="preserve"> PAGEREF _Toc17455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1D864382">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_Toc5235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5.1  </w:t>
      </w:r>
      <w:r>
        <w:rPr>
          <w:rFonts w:hint="eastAsia"/>
          <w:spacing w:val="0"/>
          <w:lang w:val="en-US" w:eastAsia="zh-CN"/>
        </w:rPr>
        <w:t>感官要求</w:t>
      </w:r>
      <w:r>
        <w:rPr>
          <w:spacing w:val="0"/>
        </w:rPr>
        <w:tab/>
      </w:r>
      <w:r>
        <w:rPr>
          <w:spacing w:val="0"/>
        </w:rPr>
        <w:fldChar w:fldCharType="begin"/>
      </w:r>
      <w:r>
        <w:rPr>
          <w:spacing w:val="0"/>
        </w:rPr>
        <w:instrText xml:space="preserve"> PAGEREF _Toc5235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68166208">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_Toc22664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5.2  </w:t>
      </w:r>
      <w:r>
        <w:rPr>
          <w:rFonts w:hint="eastAsia"/>
          <w:spacing w:val="0"/>
          <w:lang w:val="en-US" w:eastAsia="zh-CN"/>
        </w:rPr>
        <w:t>理化指标</w:t>
      </w:r>
      <w:r>
        <w:rPr>
          <w:spacing w:val="0"/>
        </w:rPr>
        <w:tab/>
      </w:r>
      <w:r>
        <w:rPr>
          <w:spacing w:val="0"/>
        </w:rPr>
        <w:fldChar w:fldCharType="begin"/>
      </w:r>
      <w:r>
        <w:rPr>
          <w:spacing w:val="0"/>
        </w:rPr>
        <w:instrText xml:space="preserve"> PAGEREF _Toc22664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6A9022D8">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_Toc28759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5.3  </w:t>
      </w:r>
      <w:r>
        <w:rPr>
          <w:rFonts w:hint="eastAsia"/>
          <w:spacing w:val="0"/>
          <w:lang w:val="en-US" w:eastAsia="zh-CN"/>
        </w:rPr>
        <w:t>安全指标</w:t>
      </w:r>
      <w:r>
        <w:rPr>
          <w:spacing w:val="0"/>
        </w:rPr>
        <w:tab/>
      </w:r>
      <w:r>
        <w:rPr>
          <w:spacing w:val="0"/>
        </w:rPr>
        <w:fldChar w:fldCharType="begin"/>
      </w:r>
      <w:r>
        <w:rPr>
          <w:spacing w:val="0"/>
        </w:rPr>
        <w:instrText xml:space="preserve"> PAGEREF _Toc28759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7A82593E">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_Toc13491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5.4</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spacing w:val="0"/>
          <w:lang w:val="en-US" w:eastAsia="zh-CN"/>
        </w:rPr>
        <w:t>净含量</w:t>
      </w:r>
      <w:r>
        <w:rPr>
          <w:spacing w:val="0"/>
        </w:rPr>
        <w:tab/>
      </w:r>
      <w:r>
        <w:rPr>
          <w:spacing w:val="0"/>
        </w:rPr>
        <w:fldChar w:fldCharType="begin"/>
      </w:r>
      <w:r>
        <w:rPr>
          <w:spacing w:val="0"/>
        </w:rPr>
        <w:instrText xml:space="preserve"> PAGEREF _Toc13491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765C7B2D">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_Toc23671 </w:instrText>
      </w:r>
      <w:r>
        <w:rPr>
          <w:rFonts w:hint="eastAsia"/>
          <w:spacing w:val="0"/>
          <w:lang w:eastAsia="zh-CN"/>
        </w:rPr>
        <w:fldChar w:fldCharType="separate"/>
      </w:r>
      <w:r>
        <w:rPr>
          <w:rFonts w:hint="eastAsia" w:ascii="黑体" w:eastAsia="黑体"/>
          <w:i w:val="0"/>
          <w:spacing w:val="0"/>
          <w:lang w:eastAsia="zh-CN"/>
        </w:rPr>
        <w:t xml:space="preserve">6  </w:t>
      </w:r>
      <w:r>
        <w:rPr>
          <w:rFonts w:hint="eastAsia"/>
          <w:spacing w:val="0"/>
          <w:lang w:val="en-US" w:eastAsia="zh-CN"/>
        </w:rPr>
        <w:t>检验规则</w:t>
      </w:r>
      <w:r>
        <w:rPr>
          <w:spacing w:val="0"/>
        </w:rPr>
        <w:tab/>
      </w:r>
      <w:r>
        <w:rPr>
          <w:spacing w:val="0"/>
        </w:rPr>
        <w:fldChar w:fldCharType="begin"/>
      </w:r>
      <w:r>
        <w:rPr>
          <w:spacing w:val="0"/>
        </w:rPr>
        <w:instrText xml:space="preserve"> PAGEREF _Toc23671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7BAEF29C">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_Toc32277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6.1  </w:t>
      </w:r>
      <w:r>
        <w:rPr>
          <w:spacing w:val="0"/>
        </w:rPr>
        <w:t>组批与取样</w:t>
      </w:r>
      <w:r>
        <w:rPr>
          <w:spacing w:val="0"/>
        </w:rPr>
        <w:tab/>
      </w:r>
      <w:r>
        <w:rPr>
          <w:spacing w:val="0"/>
        </w:rPr>
        <w:fldChar w:fldCharType="begin"/>
      </w:r>
      <w:r>
        <w:rPr>
          <w:spacing w:val="0"/>
        </w:rPr>
        <w:instrText xml:space="preserve"> PAGEREF _Toc32277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77E1BE77">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_Toc10282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6.2  </w:t>
      </w:r>
      <w:r>
        <w:rPr>
          <w:spacing w:val="0"/>
        </w:rPr>
        <w:t>出厂检验</w:t>
      </w:r>
      <w:r>
        <w:rPr>
          <w:spacing w:val="0"/>
        </w:rPr>
        <w:tab/>
      </w:r>
      <w:r>
        <w:rPr>
          <w:spacing w:val="0"/>
        </w:rPr>
        <w:fldChar w:fldCharType="begin"/>
      </w:r>
      <w:r>
        <w:rPr>
          <w:spacing w:val="0"/>
        </w:rPr>
        <w:instrText xml:space="preserve"> PAGEREF _Toc10282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4F91E99C">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_Toc12301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6.3  </w:t>
      </w:r>
      <w:r>
        <w:rPr>
          <w:spacing w:val="0"/>
        </w:rPr>
        <w:t>型式检验</w:t>
      </w:r>
      <w:r>
        <w:rPr>
          <w:spacing w:val="0"/>
        </w:rPr>
        <w:tab/>
      </w:r>
      <w:r>
        <w:rPr>
          <w:spacing w:val="0"/>
        </w:rPr>
        <w:fldChar w:fldCharType="begin"/>
      </w:r>
      <w:r>
        <w:rPr>
          <w:spacing w:val="0"/>
        </w:rPr>
        <w:instrText xml:space="preserve"> PAGEREF _Toc12301 \h </w:instrText>
      </w:r>
      <w:r>
        <w:rPr>
          <w:spacing w:val="0"/>
        </w:rPr>
        <w:fldChar w:fldCharType="separate"/>
      </w:r>
      <w:r>
        <w:rPr>
          <w:spacing w:val="0"/>
        </w:rPr>
        <w:t>3</w:t>
      </w:r>
      <w:r>
        <w:rPr>
          <w:spacing w:val="0"/>
        </w:rPr>
        <w:fldChar w:fldCharType="end"/>
      </w:r>
      <w:r>
        <w:rPr>
          <w:rFonts w:hint="eastAsia"/>
          <w:spacing w:val="0"/>
          <w:lang w:eastAsia="zh-CN"/>
        </w:rPr>
        <w:fldChar w:fldCharType="end"/>
      </w:r>
    </w:p>
    <w:p w14:paraId="324F95BD">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_Toc11570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6.4  </w:t>
      </w:r>
      <w:r>
        <w:rPr>
          <w:spacing w:val="0"/>
        </w:rPr>
        <w:t>判定规则</w:t>
      </w:r>
      <w:r>
        <w:rPr>
          <w:spacing w:val="0"/>
        </w:rPr>
        <w:tab/>
      </w:r>
      <w:r>
        <w:rPr>
          <w:spacing w:val="0"/>
        </w:rPr>
        <w:fldChar w:fldCharType="begin"/>
      </w:r>
      <w:r>
        <w:rPr>
          <w:spacing w:val="0"/>
        </w:rPr>
        <w:instrText xml:space="preserve"> PAGEREF _Toc11570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026442BA">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_Toc16837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6.5  </w:t>
      </w:r>
      <w:r>
        <w:rPr>
          <w:rFonts w:hint="eastAsia"/>
          <w:spacing w:val="0"/>
          <w:lang w:val="en-US" w:eastAsia="zh-CN"/>
        </w:rPr>
        <w:t>复检</w:t>
      </w:r>
      <w:r>
        <w:rPr>
          <w:spacing w:val="0"/>
        </w:rPr>
        <w:tab/>
      </w:r>
      <w:r>
        <w:rPr>
          <w:spacing w:val="0"/>
        </w:rPr>
        <w:fldChar w:fldCharType="begin"/>
      </w:r>
      <w:r>
        <w:rPr>
          <w:spacing w:val="0"/>
        </w:rPr>
        <w:instrText xml:space="preserve"> PAGEREF _Toc16837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7BB9E508">
      <w:pPr>
        <w:pStyle w:val="19"/>
        <w:tabs>
          <w:tab w:val="right" w:leader="dot" w:pos="9354"/>
        </w:tabs>
        <w:rPr>
          <w:spacing w:val="0"/>
        </w:rPr>
      </w:pPr>
      <w:r>
        <w:rPr>
          <w:rFonts w:hint="eastAsia"/>
          <w:spacing w:val="0"/>
          <w:lang w:eastAsia="zh-CN"/>
        </w:rPr>
        <w:fldChar w:fldCharType="begin"/>
      </w:r>
      <w:r>
        <w:rPr>
          <w:rFonts w:hint="eastAsia"/>
          <w:spacing w:val="0"/>
          <w:lang w:eastAsia="zh-CN"/>
        </w:rPr>
        <w:instrText xml:space="preserve"> HYPERLINK \l _Toc16569 </w:instrText>
      </w:r>
      <w:r>
        <w:rPr>
          <w:rFonts w:hint="eastAsia"/>
          <w:spacing w:val="0"/>
          <w:lang w:eastAsia="zh-CN"/>
        </w:rPr>
        <w:fldChar w:fldCharType="separate"/>
      </w:r>
      <w:r>
        <w:rPr>
          <w:rFonts w:hint="eastAsia" w:ascii="黑体" w:eastAsia="黑体"/>
          <w:i w:val="0"/>
          <w:spacing w:val="0"/>
          <w:lang w:eastAsia="zh-CN"/>
        </w:rPr>
        <w:t xml:space="preserve">7  </w:t>
      </w:r>
      <w:r>
        <w:rPr>
          <w:spacing w:val="0"/>
        </w:rPr>
        <w:t>标志、标签、包装、运输、贮存及追溯与召回</w:t>
      </w:r>
      <w:r>
        <w:rPr>
          <w:spacing w:val="0"/>
        </w:rPr>
        <w:tab/>
      </w:r>
      <w:r>
        <w:rPr>
          <w:spacing w:val="0"/>
        </w:rPr>
        <w:fldChar w:fldCharType="begin"/>
      </w:r>
      <w:r>
        <w:rPr>
          <w:spacing w:val="0"/>
        </w:rPr>
        <w:instrText xml:space="preserve"> PAGEREF _Toc16569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60A1AE46">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_Toc11201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7.1  </w:t>
      </w:r>
      <w:r>
        <w:rPr>
          <w:spacing w:val="0"/>
        </w:rPr>
        <w:t>标志、标签</w:t>
      </w:r>
      <w:r>
        <w:rPr>
          <w:spacing w:val="0"/>
        </w:rPr>
        <w:tab/>
      </w:r>
      <w:r>
        <w:rPr>
          <w:spacing w:val="0"/>
        </w:rPr>
        <w:fldChar w:fldCharType="begin"/>
      </w:r>
      <w:r>
        <w:rPr>
          <w:spacing w:val="0"/>
        </w:rPr>
        <w:instrText xml:space="preserve"> PAGEREF _Toc11201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36CE2918">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_Toc6447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7.2  </w:t>
      </w:r>
      <w:r>
        <w:rPr>
          <w:rFonts w:hint="eastAsia"/>
          <w:spacing w:val="0"/>
          <w:lang w:val="en-US" w:eastAsia="zh-CN"/>
        </w:rPr>
        <w:t>包装</w:t>
      </w:r>
      <w:r>
        <w:rPr>
          <w:spacing w:val="0"/>
        </w:rPr>
        <w:tab/>
      </w:r>
      <w:r>
        <w:rPr>
          <w:spacing w:val="0"/>
        </w:rPr>
        <w:fldChar w:fldCharType="begin"/>
      </w:r>
      <w:r>
        <w:rPr>
          <w:spacing w:val="0"/>
        </w:rPr>
        <w:instrText xml:space="preserve"> PAGEREF _Toc6447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6DD07408">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_Toc21189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7.3  </w:t>
      </w:r>
      <w:r>
        <w:rPr>
          <w:rFonts w:hint="eastAsia"/>
          <w:spacing w:val="0"/>
          <w:lang w:val="en-US" w:eastAsia="zh-CN"/>
        </w:rPr>
        <w:t>运输</w:t>
      </w:r>
      <w:r>
        <w:rPr>
          <w:spacing w:val="0"/>
        </w:rPr>
        <w:tab/>
      </w:r>
      <w:r>
        <w:rPr>
          <w:spacing w:val="0"/>
        </w:rPr>
        <w:fldChar w:fldCharType="begin"/>
      </w:r>
      <w:r>
        <w:rPr>
          <w:spacing w:val="0"/>
        </w:rPr>
        <w:instrText xml:space="preserve"> PAGEREF _Toc21189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41881BC0">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_Toc14350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7.4  </w:t>
      </w:r>
      <w:r>
        <w:rPr>
          <w:spacing w:val="0"/>
        </w:rPr>
        <w:t>贮存</w:t>
      </w:r>
      <w:r>
        <w:rPr>
          <w:spacing w:val="0"/>
        </w:rPr>
        <w:tab/>
      </w:r>
      <w:r>
        <w:rPr>
          <w:spacing w:val="0"/>
        </w:rPr>
        <w:fldChar w:fldCharType="begin"/>
      </w:r>
      <w:r>
        <w:rPr>
          <w:spacing w:val="0"/>
        </w:rPr>
        <w:instrText xml:space="preserve"> PAGEREF _Toc14350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0511EC43">
      <w:pPr>
        <w:pStyle w:val="24"/>
        <w:tabs>
          <w:tab w:val="right" w:leader="dot" w:pos="9354"/>
          <w:tab w:val="clear" w:pos="9344"/>
        </w:tabs>
        <w:rPr>
          <w:spacing w:val="0"/>
        </w:rPr>
      </w:pPr>
      <w:r>
        <w:rPr>
          <w:rFonts w:hint="eastAsia"/>
          <w:spacing w:val="0"/>
          <w:lang w:eastAsia="zh-CN"/>
        </w:rPr>
        <w:fldChar w:fldCharType="begin"/>
      </w:r>
      <w:r>
        <w:rPr>
          <w:rFonts w:hint="eastAsia"/>
          <w:spacing w:val="0"/>
          <w:lang w:eastAsia="zh-CN"/>
        </w:rPr>
        <w:instrText xml:space="preserve"> HYPERLINK \l _Toc19207 </w:instrText>
      </w:r>
      <w:r>
        <w:rPr>
          <w:rFonts w:hint="eastAsia"/>
          <w:spacing w:val="0"/>
          <w:lang w:eastAsia="zh-CN"/>
        </w:rPr>
        <w:fldChar w:fldCharType="separate"/>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7.5</w:t>
      </w:r>
      <w:r>
        <w:rPr>
          <w:rFonts w:hint="eastAsia" w:ascii="黑体" w:hAnsi="Times New Roman" w:eastAsia="黑体" w:cs="Times New Roman"/>
          <w:bCs w:val="0"/>
          <w:i w:val="0"/>
          <w:iCs w:val="0"/>
          <w:caps w:val="0"/>
          <w:smallCaps w:val="0"/>
          <w:strike w:val="0"/>
          <w:dstrike w:val="0"/>
          <w:vanish w:val="0"/>
          <w:spacing w:val="0"/>
          <w:kern w:val="0"/>
          <w:position w:val="0"/>
          <w:vertAlign w:val="baseline"/>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rFonts w:hint="eastAsia" w:ascii="黑体" w:hAnsi="Times New Roman" w:eastAsia="黑体" w:cs="Times New Roman"/>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 </w:t>
      </w:r>
      <w:r>
        <w:rPr>
          <w:spacing w:val="0"/>
        </w:rPr>
        <w:t>追溯与召回</w:t>
      </w:r>
      <w:r>
        <w:rPr>
          <w:spacing w:val="0"/>
        </w:rPr>
        <w:tab/>
      </w:r>
      <w:r>
        <w:rPr>
          <w:spacing w:val="0"/>
        </w:rPr>
        <w:fldChar w:fldCharType="begin"/>
      </w:r>
      <w:r>
        <w:rPr>
          <w:spacing w:val="0"/>
        </w:rPr>
        <w:instrText xml:space="preserve"> PAGEREF _Toc19207 \h </w:instrText>
      </w:r>
      <w:r>
        <w:rPr>
          <w:spacing w:val="0"/>
        </w:rPr>
        <w:fldChar w:fldCharType="separate"/>
      </w:r>
      <w:r>
        <w:rPr>
          <w:spacing w:val="0"/>
        </w:rPr>
        <w:t>4</w:t>
      </w:r>
      <w:r>
        <w:rPr>
          <w:spacing w:val="0"/>
        </w:rPr>
        <w:fldChar w:fldCharType="end"/>
      </w:r>
      <w:r>
        <w:rPr>
          <w:rFonts w:hint="eastAsia"/>
          <w:spacing w:val="0"/>
          <w:lang w:eastAsia="zh-CN"/>
        </w:rPr>
        <w:fldChar w:fldCharType="end"/>
      </w:r>
    </w:p>
    <w:p w14:paraId="1A1F3629">
      <w:pPr>
        <w:pStyle w:val="91"/>
        <w:bidi w:val="0"/>
        <w:rPr>
          <w:rFonts w:hint="eastAsia"/>
          <w:spacing w:val="0"/>
          <w:lang w:eastAsia="zh-CN"/>
        </w:rPr>
        <w:sectPr>
          <w:headerReference r:id="rId9" w:type="default"/>
          <w:footerReference r:id="rId10" w:type="default"/>
          <w:pgSz w:w="11906" w:h="16838"/>
          <w:pgMar w:top="1928" w:right="1134" w:bottom="1134" w:left="1134" w:header="1418" w:footer="1134" w:gutter="284"/>
          <w:pgNumType w:fmt="upperRoman" w:start="1"/>
          <w:cols w:space="425" w:num="1"/>
          <w:formProt w:val="0"/>
          <w:docGrid w:linePitch="312" w:charSpace="0"/>
        </w:sectPr>
      </w:pPr>
      <w:r>
        <w:rPr>
          <w:rFonts w:hint="eastAsia"/>
          <w:spacing w:val="0"/>
          <w:lang w:eastAsia="zh-CN"/>
        </w:rPr>
        <w:fldChar w:fldCharType="end"/>
      </w:r>
    </w:p>
    <w:bookmarkEnd w:id="20"/>
    <w:p w14:paraId="75B5C2AE">
      <w:pPr>
        <w:pStyle w:val="89"/>
        <w:bidi w:val="0"/>
        <w:spacing w:before="560"/>
        <w:rPr>
          <w:rFonts w:hint="eastAsia"/>
          <w:lang w:eastAsia="zh-CN"/>
        </w:rPr>
      </w:pPr>
      <w:bookmarkStart w:id="22" w:name="_Toc4420"/>
      <w:bookmarkStart w:id="23" w:name="BookMark2"/>
      <w:r>
        <w:rPr>
          <w:rFonts w:hint="eastAsia"/>
          <w:spacing w:val="320"/>
          <w:lang w:eastAsia="zh-CN"/>
        </w:rPr>
        <w:t>前</w:t>
      </w:r>
      <w:r>
        <w:rPr>
          <w:rFonts w:hint="eastAsia"/>
          <w:lang w:eastAsia="zh-CN"/>
        </w:rPr>
        <w:t>言</w:t>
      </w:r>
      <w:bookmarkEnd w:id="21"/>
      <w:bookmarkEnd w:id="22"/>
    </w:p>
    <w:p w14:paraId="0DEFF78B">
      <w:pPr>
        <w:pStyle w:val="56"/>
        <w:bidi w:val="0"/>
        <w:rPr>
          <w:rFonts w:hint="eastAsia"/>
          <w:lang w:eastAsia="zh-CN"/>
        </w:rPr>
      </w:pPr>
      <w:r>
        <w:rPr>
          <w:rFonts w:hint="eastAsia"/>
          <w:lang w:eastAsia="zh-CN"/>
        </w:rPr>
        <w:t>本文件按照GB/T 1.1—2020《标准化工作导则  第1部分：标准化文件的结构和起草规则》的规定起草。</w:t>
      </w:r>
    </w:p>
    <w:p w14:paraId="643300ED">
      <w:pPr>
        <w:pStyle w:val="56"/>
        <w:bidi w:val="0"/>
        <w:rPr>
          <w:rFonts w:hint="eastAsia"/>
          <w:lang w:eastAsia="zh-CN"/>
        </w:rPr>
      </w:pPr>
      <w:r>
        <w:rPr>
          <w:rFonts w:hint="eastAsia"/>
        </w:rPr>
        <w:t>请注意本文件的某些内容可能涉及专利。本文件的发布机构不承担识别专利的责任。</w:t>
      </w:r>
    </w:p>
    <w:p w14:paraId="4ADDF808">
      <w:pPr>
        <w:pStyle w:val="56"/>
        <w:bidi w:val="0"/>
        <w:rPr>
          <w:rFonts w:hint="eastAsia"/>
          <w:lang w:eastAsia="zh-CN"/>
        </w:rPr>
      </w:pPr>
      <w:r>
        <w:rPr>
          <w:rFonts w:hint="eastAsia"/>
          <w:lang w:eastAsia="zh-CN"/>
        </w:rPr>
        <w:t>本文件由</w:t>
      </w:r>
      <w:r>
        <w:rPr>
          <w:rFonts w:ascii="Times New Roman" w:hAnsi="Times New Roman" w:eastAsia="宋体"/>
          <w:sz w:val="20"/>
        </w:rPr>
        <w:t>泸州市纳溪区农业农村局</w:t>
      </w:r>
      <w:r>
        <w:rPr>
          <w:rFonts w:hint="eastAsia"/>
          <w:lang w:eastAsia="zh-CN"/>
        </w:rPr>
        <w:t>提出。</w:t>
      </w:r>
    </w:p>
    <w:p w14:paraId="33129CA3">
      <w:pPr>
        <w:pStyle w:val="56"/>
        <w:bidi w:val="0"/>
        <w:rPr>
          <w:rFonts w:hint="eastAsia"/>
          <w:lang w:eastAsia="zh-CN"/>
        </w:rPr>
      </w:pPr>
      <w:r>
        <w:rPr>
          <w:rFonts w:hint="eastAsia"/>
          <w:lang w:eastAsia="zh-CN"/>
        </w:rPr>
        <w:t>本文件由</w:t>
      </w:r>
      <w:r>
        <w:rPr>
          <w:rFonts w:hint="eastAsia"/>
          <w:lang w:val="en-US" w:eastAsia="zh-CN"/>
        </w:rPr>
        <w:t>四川省品牌建设促进会</w:t>
      </w:r>
      <w:r>
        <w:rPr>
          <w:rFonts w:hint="eastAsia"/>
          <w:lang w:eastAsia="zh-CN"/>
        </w:rPr>
        <w:t>归口。</w:t>
      </w:r>
    </w:p>
    <w:p w14:paraId="4905192E">
      <w:pPr>
        <w:pStyle w:val="56"/>
        <w:bidi w:val="0"/>
        <w:rPr>
          <w:rFonts w:hint="eastAsia" w:eastAsia="宋体"/>
          <w:lang w:eastAsia="zh-CN"/>
        </w:rPr>
      </w:pPr>
      <w:r>
        <w:rPr>
          <w:rFonts w:hint="eastAsia"/>
          <w:lang w:eastAsia="zh-CN"/>
        </w:rPr>
        <w:t>本文件起草单位：</w:t>
      </w:r>
      <w:r>
        <w:rPr>
          <w:rFonts w:hint="eastAsia" w:ascii="Times New Roman" w:hAnsi="Times New Roman" w:eastAsia="宋体"/>
          <w:sz w:val="20"/>
        </w:rPr>
        <w:t>泸州市纳溪区农业农村局、泸州市纳溪区茶叶协会、四川省泸州市特早茶业集团有限公司、泸州云蔚抹茶茶业有限责任公司、四川悟林茶业有限公司、中国测试技术研究院生物研究所</w:t>
      </w:r>
      <w:r>
        <w:rPr>
          <w:rFonts w:hint="eastAsia"/>
          <w:sz w:val="20"/>
          <w:lang w:eastAsia="zh-CN"/>
        </w:rPr>
        <w:t>、</w:t>
      </w:r>
      <w:r>
        <w:rPr>
          <w:rFonts w:hint="eastAsia" w:ascii="Times New Roman" w:hAnsi="Times New Roman" w:eastAsia="宋体"/>
          <w:sz w:val="20"/>
        </w:rPr>
        <w:t>四川瀚源有机茶业有限公司、四川大里特早茶有限公司、四川荣龙探春茶业有限公司、泸州市天绿茶业有限公司</w:t>
      </w:r>
      <w:r>
        <w:rPr>
          <w:rFonts w:hint="eastAsia"/>
          <w:sz w:val="20"/>
          <w:lang w:eastAsia="zh-CN"/>
        </w:rPr>
        <w:t>。</w:t>
      </w:r>
    </w:p>
    <w:p w14:paraId="2E3FAAE7">
      <w:pPr>
        <w:pStyle w:val="56"/>
        <w:bidi w:val="0"/>
        <w:rPr>
          <w:rFonts w:hint="eastAsia"/>
          <w:lang w:eastAsia="zh-CN"/>
        </w:rPr>
      </w:pPr>
      <w:r>
        <w:rPr>
          <w:rFonts w:hint="eastAsia"/>
          <w:lang w:eastAsia="zh-CN"/>
        </w:rPr>
        <w:t>本文件主要起草人：</w:t>
      </w:r>
    </w:p>
    <w:p w14:paraId="5E45EB5D">
      <w:pPr>
        <w:pStyle w:val="56"/>
        <w:bidi w:val="0"/>
        <w:rPr>
          <w:rFonts w:hint="eastAsia"/>
          <w:lang w:eastAsia="zh-CN"/>
        </w:rPr>
      </w:pPr>
    </w:p>
    <w:p w14:paraId="70BA0FD6">
      <w:pPr>
        <w:pStyle w:val="56"/>
        <w:bidi w:val="0"/>
        <w:rPr>
          <w:rFonts w:hint="eastAsia"/>
          <w:lang w:eastAsia="zh-CN"/>
        </w:rPr>
        <w:sectPr>
          <w:pgSz w:w="11906" w:h="16838"/>
          <w:pgMar w:top="1928" w:right="1134" w:bottom="1134" w:left="1134" w:header="1418" w:footer="1134" w:gutter="284"/>
          <w:pgNumType w:fmt="upperRoman"/>
          <w:cols w:space="425" w:num="1"/>
          <w:formProt w:val="0"/>
          <w:docGrid w:linePitch="312" w:charSpace="0"/>
        </w:sectPr>
      </w:pPr>
    </w:p>
    <w:bookmarkEnd w:id="23"/>
    <w:p w14:paraId="3F678644">
      <w:pPr>
        <w:spacing w:line="20" w:lineRule="exact"/>
        <w:jc w:val="center"/>
        <w:rPr>
          <w:rFonts w:hint="eastAsia" w:ascii="黑体" w:hAnsi="黑体" w:eastAsia="黑体"/>
          <w:sz w:val="32"/>
          <w:szCs w:val="32"/>
        </w:rPr>
      </w:pPr>
      <w:bookmarkStart w:id="24" w:name="BookMark4"/>
    </w:p>
    <w:p w14:paraId="58FA81F3">
      <w:pPr>
        <w:spacing w:line="20" w:lineRule="exact"/>
        <w:jc w:val="center"/>
        <w:rPr>
          <w:rFonts w:hint="eastAsia" w:ascii="黑体" w:hAnsi="黑体" w:eastAsia="黑体"/>
          <w:sz w:val="32"/>
          <w:szCs w:val="32"/>
        </w:rPr>
      </w:pPr>
    </w:p>
    <w:sdt>
      <w:sdtPr>
        <w:tag w:val="NEW_STAND_NAME"/>
        <w:id w:val="595910757"/>
        <w:lock w:val="sdtLocked"/>
        <w:placeholder>
          <w:docPart w:val="9B3BEDB4F2724F9D81F4444A5CCE266D"/>
        </w:placeholder>
      </w:sdtPr>
      <w:sdtContent>
        <w:p w14:paraId="1D58211E">
          <w:pPr>
            <w:pStyle w:val="178"/>
            <w:bidi w:val="0"/>
            <w:spacing w:before="313" w:beforeLines="100" w:after="687" w:afterLines="220"/>
            <w:rPr>
              <w:rFonts w:hint="eastAsia"/>
            </w:rPr>
          </w:pPr>
          <w:bookmarkStart w:id="25" w:name="NEW_STAND_NAME"/>
          <w:r>
            <w:rPr>
              <w:rFonts w:hint="eastAsia"/>
              <w:lang w:eastAsia="zh-CN"/>
            </w:rPr>
            <w:t>抹茶</w:t>
          </w:r>
        </w:p>
      </w:sdtContent>
    </w:sdt>
    <w:bookmarkEnd w:id="25"/>
    <w:p w14:paraId="58FB4D92">
      <w:pPr>
        <w:pStyle w:val="104"/>
        <w:spacing w:before="240" w:after="240"/>
      </w:pPr>
      <w:bookmarkStart w:id="26" w:name="_Toc17233333"/>
      <w:bookmarkStart w:id="27" w:name="_Toc97192964"/>
      <w:bookmarkStart w:id="28" w:name="_Toc26648465"/>
      <w:bookmarkStart w:id="29" w:name="_Toc26986530"/>
      <w:bookmarkStart w:id="30" w:name="_Toc26986771"/>
      <w:bookmarkStart w:id="31" w:name="_Toc24884218"/>
      <w:bookmarkStart w:id="32" w:name="_Toc17233325"/>
      <w:bookmarkStart w:id="33" w:name="_Toc7923"/>
      <w:bookmarkStart w:id="34" w:name="_Toc24884211"/>
      <w:bookmarkStart w:id="35" w:name="_Toc7451"/>
      <w:bookmarkStart w:id="36" w:name="_Toc26718930"/>
      <w:r>
        <w:rPr>
          <w:rFonts w:hint="eastAsia"/>
        </w:rPr>
        <w:t>范围</w:t>
      </w:r>
      <w:bookmarkEnd w:id="26"/>
      <w:bookmarkEnd w:id="27"/>
      <w:bookmarkEnd w:id="28"/>
      <w:bookmarkEnd w:id="29"/>
      <w:bookmarkEnd w:id="30"/>
      <w:bookmarkEnd w:id="31"/>
      <w:bookmarkEnd w:id="32"/>
      <w:bookmarkEnd w:id="33"/>
      <w:bookmarkEnd w:id="34"/>
      <w:bookmarkEnd w:id="35"/>
      <w:bookmarkEnd w:id="36"/>
    </w:p>
    <w:p w14:paraId="3BDBB36E">
      <w:pPr>
        <w:pStyle w:val="56"/>
        <w:ind w:firstLine="420"/>
      </w:pPr>
      <w:bookmarkStart w:id="37" w:name="_Toc26648466"/>
      <w:bookmarkStart w:id="38" w:name="_Toc24884219"/>
      <w:bookmarkStart w:id="39" w:name="_Toc17233334"/>
      <w:bookmarkStart w:id="40" w:name="_Toc17233326"/>
      <w:bookmarkStart w:id="41" w:name="_Toc24884212"/>
      <w:r>
        <w:t>本文件规定了抹茶的术语和定义、产品要求、检验方法、检验规则以及标志、标签、包装、运输、贮存和追溯与召回要求。</w:t>
      </w:r>
    </w:p>
    <w:p w14:paraId="3A6B0808">
      <w:pPr>
        <w:pStyle w:val="231"/>
        <w:rPr>
          <w:rFonts w:hint="eastAsia"/>
        </w:rPr>
      </w:pPr>
      <w:r>
        <w:rPr>
          <w:rFonts w:hint="eastAsia"/>
        </w:rPr>
        <w:t>本文件适用于以覆盖栽培茶树鲜叶为起始原料，经杀青、干燥、除梗精选、研磨等工序制成的纯抹茶产品；也适用于以覆盖栽培茶树鲜叶制得并符合本文件要求的碾茶为原料，经研磨工艺制成的纯抹茶产品。</w:t>
      </w:r>
    </w:p>
    <w:p w14:paraId="4200993D">
      <w:pPr>
        <w:pStyle w:val="56"/>
        <w:ind w:firstLine="420"/>
        <w:rPr>
          <w:rFonts w:hint="eastAsia"/>
          <w:lang w:eastAsia="zh-CN"/>
        </w:rPr>
      </w:pPr>
      <w:r>
        <w:rPr>
          <w:rFonts w:hint="eastAsia"/>
        </w:rPr>
        <w:t>本文件不适用于以茶提取物为主要原料制得的速溶茶粉、添加糖类或其他食品配料制成的调味抹茶粉、复合固体饮料及含茶食品。</w:t>
      </w:r>
    </w:p>
    <w:p w14:paraId="767F512F">
      <w:pPr>
        <w:pStyle w:val="104"/>
        <w:spacing w:before="240" w:after="240"/>
      </w:pPr>
      <w:bookmarkStart w:id="42" w:name="_Toc16814"/>
      <w:bookmarkStart w:id="43" w:name="_Toc26718931"/>
      <w:bookmarkStart w:id="44" w:name="_Toc12583"/>
      <w:bookmarkStart w:id="45" w:name="_Toc97192965"/>
      <w:bookmarkStart w:id="46" w:name="_Toc26986531"/>
      <w:bookmarkStart w:id="47" w:name="_Toc26986772"/>
      <w:r>
        <w:rPr>
          <w:rFonts w:hint="eastAsia"/>
        </w:rPr>
        <w:t>规范性引用文件</w:t>
      </w:r>
      <w:bookmarkEnd w:id="37"/>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78956B8278AF41489B4C226600D2E8C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0D5A6A32">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55B93F6C">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GB/T 191</w:t>
      </w:r>
      <w:r>
        <w:rPr>
          <w:rFonts w:hint="eastAsia"/>
          <w:lang w:val="en-US" w:eastAsia="zh-CN"/>
        </w:rPr>
        <w:tab/>
      </w:r>
      <w:r>
        <w:rPr>
          <w:rFonts w:hint="eastAsia"/>
          <w:lang w:val="en-US" w:eastAsia="zh-CN"/>
        </w:rPr>
        <w:tab/>
      </w:r>
      <w:r>
        <w:rPr>
          <w:rFonts w:hint="eastAsia"/>
          <w:lang w:val="en-US" w:eastAsia="zh-CN"/>
        </w:rPr>
        <w:t xml:space="preserve"> </w:t>
      </w:r>
      <w:r>
        <w:rPr>
          <w:rFonts w:hint="eastAsia"/>
        </w:rPr>
        <w:t>包装储运图示标志</w:t>
      </w:r>
    </w:p>
    <w:p w14:paraId="2D90D797">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 2761</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 xml:space="preserve"> </w:t>
      </w:r>
      <w:r>
        <w:rPr>
          <w:rFonts w:hint="eastAsia"/>
        </w:rPr>
        <w:t>食品安全国家标准 食品中真菌毒素限量</w:t>
      </w:r>
    </w:p>
    <w:p w14:paraId="26C237FC">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 2762</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 xml:space="preserve"> </w:t>
      </w:r>
      <w:r>
        <w:rPr>
          <w:rFonts w:hint="eastAsia"/>
        </w:rPr>
        <w:t>食品安全国家标准 食品中污染物限量</w:t>
      </w:r>
    </w:p>
    <w:p w14:paraId="0DE4247E">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 2763</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 xml:space="preserve"> </w:t>
      </w:r>
      <w:r>
        <w:rPr>
          <w:rFonts w:hint="eastAsia"/>
        </w:rPr>
        <w:t>食品安全国家标准 食品中农药最大残留限量</w:t>
      </w:r>
    </w:p>
    <w:p w14:paraId="7390A2A4">
      <w:pPr>
        <w:pStyle w:val="231"/>
        <w:keepNext w:val="0"/>
        <w:keepLines w:val="0"/>
        <w:pageBreakBefore w:val="0"/>
        <w:widowControl w:val="0"/>
        <w:kinsoku/>
        <w:wordWrap/>
        <w:overflowPunct/>
        <w:topLinePunct w:val="0"/>
        <w:autoSpaceDE/>
        <w:autoSpaceDN/>
        <w:bidi w:val="0"/>
        <w:adjustRightInd w:val="0"/>
        <w:snapToGrid/>
        <w:textAlignment w:val="auto"/>
        <w:rPr>
          <w:rFonts w:hint="default" w:eastAsia="宋体"/>
          <w:color w:val="auto"/>
          <w:lang w:val="en-US" w:eastAsia="zh-CN"/>
        </w:rPr>
      </w:pPr>
      <w:r>
        <w:rPr>
          <w:rFonts w:hint="eastAsia"/>
          <w:color w:val="auto"/>
        </w:rPr>
        <w:t xml:space="preserve">GB </w:t>
      </w:r>
      <w:r>
        <w:rPr>
          <w:rFonts w:hint="eastAsia"/>
          <w:color w:val="auto"/>
          <w:lang w:val="en-US" w:eastAsia="zh-CN"/>
        </w:rPr>
        <w:t>4789.2</w:t>
      </w:r>
      <w:r>
        <w:rPr>
          <w:rFonts w:hint="eastAsia"/>
          <w:color w:val="auto"/>
          <w:lang w:val="en-US" w:eastAsia="zh-CN"/>
        </w:rPr>
        <w:tab/>
      </w:r>
      <w:r>
        <w:rPr>
          <w:rFonts w:hint="eastAsia"/>
          <w:color w:val="auto"/>
          <w:lang w:val="en-US" w:eastAsia="zh-CN"/>
        </w:rPr>
        <w:tab/>
      </w:r>
      <w:r>
        <w:rPr>
          <w:rFonts w:hint="eastAsia"/>
          <w:color w:val="auto"/>
          <w:lang w:val="en-US" w:eastAsia="zh-CN"/>
        </w:rPr>
        <w:t xml:space="preserve"> </w:t>
      </w:r>
      <w:r>
        <w:rPr>
          <w:rFonts w:hint="eastAsia"/>
          <w:color w:val="auto"/>
        </w:rPr>
        <w:t>食品安全国家标准 食品</w:t>
      </w:r>
      <w:r>
        <w:rPr>
          <w:rFonts w:hint="eastAsia"/>
          <w:color w:val="auto"/>
          <w:lang w:val="en-US" w:eastAsia="zh-CN"/>
        </w:rPr>
        <w:t>微生物学检验 菌落总数测定</w:t>
      </w:r>
    </w:p>
    <w:p w14:paraId="276FA4C8">
      <w:pPr>
        <w:pStyle w:val="231"/>
        <w:keepNext w:val="0"/>
        <w:keepLines w:val="0"/>
        <w:pageBreakBefore w:val="0"/>
        <w:widowControl w:val="0"/>
        <w:kinsoku/>
        <w:wordWrap/>
        <w:overflowPunct/>
        <w:topLinePunct w:val="0"/>
        <w:autoSpaceDE/>
        <w:autoSpaceDN/>
        <w:bidi w:val="0"/>
        <w:adjustRightInd w:val="0"/>
        <w:snapToGrid/>
        <w:textAlignment w:val="auto"/>
        <w:rPr>
          <w:rFonts w:hint="default" w:eastAsia="宋体"/>
          <w:color w:val="auto"/>
          <w:lang w:val="en-US" w:eastAsia="zh-CN"/>
        </w:rPr>
      </w:pPr>
      <w:r>
        <w:rPr>
          <w:rFonts w:hint="eastAsia"/>
          <w:color w:val="auto"/>
        </w:rPr>
        <w:t xml:space="preserve">GB </w:t>
      </w:r>
      <w:r>
        <w:rPr>
          <w:rFonts w:hint="eastAsia"/>
          <w:color w:val="auto"/>
          <w:lang w:val="en-US" w:eastAsia="zh-CN"/>
        </w:rPr>
        <w:t>4789.3</w:t>
      </w:r>
      <w:r>
        <w:rPr>
          <w:rFonts w:hint="eastAsia"/>
          <w:color w:val="auto"/>
          <w:lang w:val="en-US" w:eastAsia="zh-CN"/>
        </w:rPr>
        <w:tab/>
      </w:r>
      <w:r>
        <w:rPr>
          <w:rFonts w:hint="eastAsia"/>
          <w:color w:val="auto"/>
          <w:lang w:val="en-US" w:eastAsia="zh-CN"/>
        </w:rPr>
        <w:tab/>
      </w:r>
      <w:r>
        <w:rPr>
          <w:rFonts w:hint="eastAsia"/>
          <w:color w:val="auto"/>
          <w:lang w:val="en-US" w:eastAsia="zh-CN"/>
        </w:rPr>
        <w:t xml:space="preserve"> </w:t>
      </w:r>
      <w:r>
        <w:rPr>
          <w:rFonts w:hint="eastAsia"/>
          <w:color w:val="auto"/>
        </w:rPr>
        <w:t>食品安全国家标准 食品</w:t>
      </w:r>
      <w:r>
        <w:rPr>
          <w:rFonts w:hint="eastAsia"/>
          <w:color w:val="auto"/>
          <w:lang w:val="en-US" w:eastAsia="zh-CN"/>
        </w:rPr>
        <w:t>微生物学检验 大肠菌群计数</w:t>
      </w:r>
    </w:p>
    <w:p w14:paraId="4A7159AD">
      <w:pPr>
        <w:pStyle w:val="231"/>
        <w:keepNext w:val="0"/>
        <w:keepLines w:val="0"/>
        <w:pageBreakBefore w:val="0"/>
        <w:widowControl w:val="0"/>
        <w:kinsoku/>
        <w:wordWrap/>
        <w:overflowPunct/>
        <w:topLinePunct w:val="0"/>
        <w:autoSpaceDE/>
        <w:autoSpaceDN/>
        <w:bidi w:val="0"/>
        <w:adjustRightInd w:val="0"/>
        <w:snapToGrid/>
        <w:textAlignment w:val="auto"/>
        <w:rPr>
          <w:rFonts w:hint="default" w:eastAsia="宋体"/>
          <w:color w:val="auto"/>
          <w:lang w:val="en-US" w:eastAsia="zh-CN"/>
        </w:rPr>
      </w:pPr>
      <w:r>
        <w:rPr>
          <w:rFonts w:hint="eastAsia"/>
          <w:color w:val="auto"/>
        </w:rPr>
        <w:t xml:space="preserve">GB </w:t>
      </w:r>
      <w:r>
        <w:rPr>
          <w:rFonts w:hint="eastAsia"/>
          <w:color w:val="auto"/>
          <w:lang w:val="en-US" w:eastAsia="zh-CN"/>
        </w:rPr>
        <w:t>4789.4</w:t>
      </w:r>
      <w:r>
        <w:rPr>
          <w:rFonts w:hint="eastAsia"/>
          <w:color w:val="auto"/>
          <w:lang w:val="en-US" w:eastAsia="zh-CN"/>
        </w:rPr>
        <w:tab/>
      </w:r>
      <w:r>
        <w:rPr>
          <w:rFonts w:hint="eastAsia"/>
          <w:color w:val="auto"/>
          <w:lang w:val="en-US" w:eastAsia="zh-CN"/>
        </w:rPr>
        <w:tab/>
      </w:r>
      <w:r>
        <w:rPr>
          <w:rFonts w:hint="eastAsia"/>
          <w:color w:val="auto"/>
          <w:lang w:val="en-US" w:eastAsia="zh-CN"/>
        </w:rPr>
        <w:t xml:space="preserve"> </w:t>
      </w:r>
      <w:r>
        <w:rPr>
          <w:rFonts w:hint="eastAsia"/>
          <w:color w:val="auto"/>
        </w:rPr>
        <w:t>食品安全国家标准 食品</w:t>
      </w:r>
      <w:r>
        <w:rPr>
          <w:rFonts w:hint="eastAsia"/>
          <w:color w:val="auto"/>
          <w:lang w:val="en-US" w:eastAsia="zh-CN"/>
        </w:rPr>
        <w:t>微生物学检验 沙门氏菌检验</w:t>
      </w:r>
    </w:p>
    <w:p w14:paraId="01E20520">
      <w:pPr>
        <w:pStyle w:val="231"/>
        <w:keepNext w:val="0"/>
        <w:keepLines w:val="0"/>
        <w:pageBreakBefore w:val="0"/>
        <w:widowControl w:val="0"/>
        <w:kinsoku/>
        <w:wordWrap/>
        <w:overflowPunct/>
        <w:topLinePunct w:val="0"/>
        <w:autoSpaceDE/>
        <w:autoSpaceDN/>
        <w:bidi w:val="0"/>
        <w:adjustRightInd w:val="0"/>
        <w:snapToGrid/>
        <w:textAlignment w:val="auto"/>
        <w:rPr>
          <w:rFonts w:hint="default" w:eastAsia="宋体"/>
          <w:color w:val="auto"/>
          <w:lang w:val="en-US" w:eastAsia="zh-CN"/>
        </w:rPr>
      </w:pPr>
      <w:r>
        <w:rPr>
          <w:rFonts w:hint="eastAsia"/>
          <w:color w:val="auto"/>
        </w:rPr>
        <w:t xml:space="preserve">GB </w:t>
      </w:r>
      <w:r>
        <w:rPr>
          <w:rFonts w:hint="eastAsia"/>
          <w:color w:val="auto"/>
          <w:lang w:val="en-US" w:eastAsia="zh-CN"/>
        </w:rPr>
        <w:t>4789.10</w:t>
      </w:r>
      <w:r>
        <w:rPr>
          <w:rFonts w:hint="eastAsia"/>
          <w:color w:val="auto"/>
          <w:lang w:val="en-US" w:eastAsia="zh-CN"/>
        </w:rPr>
        <w:tab/>
      </w:r>
      <w:r>
        <w:rPr>
          <w:rFonts w:hint="eastAsia"/>
          <w:color w:val="auto"/>
          <w:lang w:val="en-US" w:eastAsia="zh-CN"/>
        </w:rPr>
        <w:tab/>
      </w:r>
      <w:r>
        <w:rPr>
          <w:rFonts w:hint="eastAsia"/>
          <w:color w:val="auto"/>
          <w:lang w:val="en-US" w:eastAsia="zh-CN"/>
        </w:rPr>
        <w:t xml:space="preserve"> </w:t>
      </w:r>
      <w:r>
        <w:rPr>
          <w:rFonts w:hint="eastAsia"/>
          <w:color w:val="auto"/>
        </w:rPr>
        <w:t>食品安全国家标准 食品</w:t>
      </w:r>
      <w:r>
        <w:rPr>
          <w:rFonts w:hint="eastAsia"/>
          <w:color w:val="auto"/>
          <w:lang w:val="en-US" w:eastAsia="zh-CN"/>
        </w:rPr>
        <w:t>微生物学检验 金黄色葡萄球菌检验</w:t>
      </w:r>
    </w:p>
    <w:p w14:paraId="13FF428D">
      <w:pPr>
        <w:pStyle w:val="231"/>
        <w:keepNext w:val="0"/>
        <w:keepLines w:val="0"/>
        <w:pageBreakBefore w:val="0"/>
        <w:widowControl w:val="0"/>
        <w:kinsoku/>
        <w:wordWrap/>
        <w:overflowPunct/>
        <w:topLinePunct w:val="0"/>
        <w:autoSpaceDE/>
        <w:autoSpaceDN/>
        <w:bidi w:val="0"/>
        <w:adjustRightInd w:val="0"/>
        <w:snapToGrid/>
        <w:textAlignment w:val="auto"/>
        <w:rPr>
          <w:rFonts w:hint="default" w:eastAsia="宋体"/>
          <w:color w:val="auto"/>
          <w:lang w:val="en-US" w:eastAsia="zh-CN"/>
        </w:rPr>
      </w:pPr>
      <w:r>
        <w:rPr>
          <w:rFonts w:hint="eastAsia"/>
          <w:color w:val="auto"/>
        </w:rPr>
        <w:t xml:space="preserve">GB </w:t>
      </w:r>
      <w:r>
        <w:rPr>
          <w:rFonts w:hint="eastAsia"/>
          <w:color w:val="auto"/>
          <w:lang w:val="en-US" w:eastAsia="zh-CN"/>
        </w:rPr>
        <w:t>4789.15</w:t>
      </w:r>
      <w:r>
        <w:rPr>
          <w:rFonts w:hint="eastAsia"/>
          <w:color w:val="auto"/>
          <w:lang w:val="en-US" w:eastAsia="zh-CN"/>
        </w:rPr>
        <w:tab/>
      </w:r>
      <w:r>
        <w:rPr>
          <w:rFonts w:hint="eastAsia"/>
          <w:color w:val="auto"/>
          <w:lang w:val="en-US" w:eastAsia="zh-CN"/>
        </w:rPr>
        <w:tab/>
      </w:r>
      <w:r>
        <w:rPr>
          <w:rFonts w:hint="eastAsia"/>
          <w:color w:val="auto"/>
          <w:lang w:val="en-US" w:eastAsia="zh-CN"/>
        </w:rPr>
        <w:t xml:space="preserve"> </w:t>
      </w:r>
      <w:r>
        <w:rPr>
          <w:rFonts w:hint="eastAsia"/>
          <w:color w:val="auto"/>
        </w:rPr>
        <w:t>食品安全国家标准 食品</w:t>
      </w:r>
      <w:r>
        <w:rPr>
          <w:rFonts w:hint="eastAsia"/>
          <w:color w:val="auto"/>
          <w:lang w:val="en-US" w:eastAsia="zh-CN"/>
        </w:rPr>
        <w:t>微生物学检验 霉菌和酵母计数</w:t>
      </w:r>
    </w:p>
    <w:p w14:paraId="19A14993">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 7718</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 xml:space="preserve"> </w:t>
      </w:r>
      <w:r>
        <w:rPr>
          <w:rFonts w:hint="eastAsia"/>
        </w:rPr>
        <w:t>食品安全国家标准 预包装食品标签通则</w:t>
      </w:r>
    </w:p>
    <w:p w14:paraId="26DBC46D">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GB/T 8302</w:t>
      </w:r>
      <w:r>
        <w:rPr>
          <w:rFonts w:hint="eastAsia"/>
          <w:lang w:val="en-US" w:eastAsia="zh-CN"/>
        </w:rPr>
        <w:tab/>
      </w:r>
      <w:r>
        <w:rPr>
          <w:rFonts w:hint="eastAsia"/>
          <w:lang w:val="en-US" w:eastAsia="zh-CN"/>
        </w:rPr>
        <w:tab/>
      </w:r>
      <w:r>
        <w:rPr>
          <w:rFonts w:hint="eastAsia"/>
          <w:lang w:val="en-US" w:eastAsia="zh-CN"/>
        </w:rPr>
        <w:t xml:space="preserve"> </w:t>
      </w:r>
      <w:r>
        <w:rPr>
          <w:rFonts w:hint="eastAsia"/>
        </w:rPr>
        <w:t>茶 取样</w:t>
      </w:r>
    </w:p>
    <w:p w14:paraId="60744422">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GB/T 8305</w:t>
      </w:r>
      <w:r>
        <w:rPr>
          <w:rFonts w:hint="eastAsia"/>
          <w:lang w:val="en-US" w:eastAsia="zh-CN"/>
        </w:rPr>
        <w:tab/>
      </w:r>
      <w:r>
        <w:rPr>
          <w:rFonts w:hint="eastAsia"/>
          <w:lang w:val="en-US" w:eastAsia="zh-CN"/>
        </w:rPr>
        <w:tab/>
      </w:r>
      <w:r>
        <w:rPr>
          <w:rFonts w:hint="eastAsia"/>
          <w:lang w:val="en-US" w:eastAsia="zh-CN"/>
        </w:rPr>
        <w:t xml:space="preserve"> </w:t>
      </w:r>
      <w:r>
        <w:rPr>
          <w:rFonts w:hint="eastAsia"/>
        </w:rPr>
        <w:t>茶 水浸出物测定</w:t>
      </w:r>
    </w:p>
    <w:p w14:paraId="5BAFD505">
      <w:pPr>
        <w:pStyle w:val="231"/>
        <w:keepNext w:val="0"/>
        <w:keepLines w:val="0"/>
        <w:pageBreakBefore w:val="0"/>
        <w:widowControl w:val="0"/>
        <w:kinsoku/>
        <w:wordWrap/>
        <w:overflowPunct/>
        <w:topLinePunct w:val="0"/>
        <w:autoSpaceDE/>
        <w:autoSpaceDN/>
        <w:bidi w:val="0"/>
        <w:adjustRightInd w:val="0"/>
        <w:snapToGrid/>
        <w:textAlignment w:val="auto"/>
        <w:rPr>
          <w:rFonts w:hint="default" w:eastAsia="宋体"/>
          <w:lang w:val="en-US" w:eastAsia="zh-CN"/>
        </w:rPr>
      </w:pPr>
      <w:r>
        <w:rPr>
          <w:rFonts w:hint="eastAsia"/>
        </w:rPr>
        <w:t>GB/T 831</w:t>
      </w:r>
      <w:r>
        <w:rPr>
          <w:rFonts w:hint="eastAsia"/>
          <w:lang w:val="en-US" w:eastAsia="zh-CN"/>
        </w:rPr>
        <w:t>3        茶叶中茶多酚和儿茶素类含量的检测方法</w:t>
      </w:r>
    </w:p>
    <w:p w14:paraId="6069FD65">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GB/T 8314</w:t>
      </w:r>
      <w:r>
        <w:rPr>
          <w:rFonts w:hint="eastAsia"/>
          <w:lang w:val="en-US" w:eastAsia="zh-CN"/>
        </w:rPr>
        <w:tab/>
      </w:r>
      <w:r>
        <w:rPr>
          <w:rFonts w:hint="eastAsia"/>
          <w:lang w:val="en-US" w:eastAsia="zh-CN"/>
        </w:rPr>
        <w:tab/>
      </w:r>
      <w:r>
        <w:rPr>
          <w:rFonts w:hint="eastAsia"/>
          <w:lang w:val="en-US" w:eastAsia="zh-CN"/>
        </w:rPr>
        <w:t xml:space="preserve"> </w:t>
      </w:r>
      <w:r>
        <w:rPr>
          <w:rFonts w:hint="eastAsia"/>
        </w:rPr>
        <w:t>茶 游离氨基酸总量的测定</w:t>
      </w:r>
    </w:p>
    <w:p w14:paraId="3D813A1C">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GB/T 14487</w:t>
      </w:r>
      <w:r>
        <w:rPr>
          <w:rFonts w:hint="eastAsia"/>
          <w:lang w:val="en-US" w:eastAsia="zh-CN"/>
        </w:rPr>
        <w:tab/>
      </w:r>
      <w:r>
        <w:rPr>
          <w:rFonts w:hint="eastAsia"/>
          <w:lang w:val="en-US" w:eastAsia="zh-CN"/>
        </w:rPr>
        <w:tab/>
      </w:r>
      <w:r>
        <w:rPr>
          <w:rFonts w:hint="eastAsia"/>
          <w:lang w:val="en-US" w:eastAsia="zh-CN"/>
        </w:rPr>
        <w:t xml:space="preserve"> </w:t>
      </w:r>
      <w:r>
        <w:rPr>
          <w:rFonts w:hint="eastAsia"/>
        </w:rPr>
        <w:t>茶叶感官审评术语</w:t>
      </w:r>
    </w:p>
    <w:p w14:paraId="3E1903E2">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eastAsia="宋体" w:cs="Calibri"/>
          <w:szCs w:val="21"/>
        </w:rPr>
        <w:t>GB/T 23193</w:t>
      </w:r>
      <w:r>
        <w:rPr>
          <w:rFonts w:hint="eastAsia" w:cs="Calibri"/>
          <w:szCs w:val="21"/>
          <w:lang w:val="en-US" w:eastAsia="zh-CN"/>
        </w:rPr>
        <w:tab/>
      </w:r>
      <w:r>
        <w:rPr>
          <w:rFonts w:hint="eastAsia" w:cs="Calibri"/>
          <w:szCs w:val="21"/>
          <w:lang w:val="en-US" w:eastAsia="zh-CN"/>
        </w:rPr>
        <w:tab/>
      </w:r>
      <w:r>
        <w:rPr>
          <w:rFonts w:hint="eastAsia" w:cs="Calibri"/>
          <w:szCs w:val="21"/>
          <w:lang w:val="en-US" w:eastAsia="zh-CN"/>
        </w:rPr>
        <w:t xml:space="preserve"> </w:t>
      </w:r>
      <w:r>
        <w:rPr>
          <w:rFonts w:hint="eastAsia" w:eastAsia="宋体" w:cs="Calibri"/>
          <w:szCs w:val="21"/>
        </w:rPr>
        <w:t>茶叶中茶氨酸的测定 高效液相色谱法</w:t>
      </w:r>
    </w:p>
    <w:p w14:paraId="7FE02F56">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 xml:space="preserve">GB 28050 </w:t>
      </w:r>
      <w:r>
        <w:rPr>
          <w:rFonts w:hint="eastAsia"/>
          <w:lang w:val="en-US" w:eastAsia="zh-CN"/>
        </w:rPr>
        <w:tab/>
      </w:r>
      <w:r>
        <w:rPr>
          <w:rFonts w:hint="eastAsia"/>
          <w:lang w:val="en-US" w:eastAsia="zh-CN"/>
        </w:rPr>
        <w:tab/>
      </w:r>
      <w:r>
        <w:rPr>
          <w:rFonts w:hint="eastAsia"/>
          <w:lang w:val="en-US" w:eastAsia="zh-CN"/>
        </w:rPr>
        <w:t xml:space="preserve"> </w:t>
      </w:r>
      <w:r>
        <w:rPr>
          <w:rFonts w:hint="eastAsia"/>
        </w:rPr>
        <w:t>食品安全国家标准 预包装食品营养标签通则</w:t>
      </w:r>
    </w:p>
    <w:p w14:paraId="3665484A">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t>GB/T 30375</w:t>
      </w:r>
      <w:r>
        <w:tab/>
      </w:r>
      <w:r>
        <w:tab/>
      </w:r>
      <w:r>
        <w:rPr>
          <w:rFonts w:hint="eastAsia"/>
          <w:lang w:val="en-US" w:eastAsia="zh-CN"/>
        </w:rPr>
        <w:t xml:space="preserve"> </w:t>
      </w:r>
      <w:r>
        <w:t>茶叶贮存</w:t>
      </w:r>
    </w:p>
    <w:p w14:paraId="67FC6613">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GB/T 34778</w:t>
      </w:r>
      <w:r>
        <w:rPr>
          <w:rFonts w:hint="eastAsia"/>
          <w:lang w:val="en-US" w:eastAsia="zh-CN"/>
        </w:rPr>
        <w:t xml:space="preserve">—2017 </w:t>
      </w:r>
      <w:r>
        <w:rPr>
          <w:rFonts w:hint="eastAsia"/>
        </w:rPr>
        <w:t>抹茶</w:t>
      </w:r>
    </w:p>
    <w:p w14:paraId="5DE40E64">
      <w:pPr>
        <w:pStyle w:val="231"/>
        <w:keepNext w:val="0"/>
        <w:keepLines w:val="0"/>
        <w:pageBreakBefore w:val="0"/>
        <w:widowControl w:val="0"/>
        <w:kinsoku/>
        <w:wordWrap/>
        <w:overflowPunct/>
        <w:topLinePunct w:val="0"/>
        <w:autoSpaceDE/>
        <w:autoSpaceDN/>
        <w:bidi w:val="0"/>
        <w:adjustRightInd w:val="0"/>
        <w:snapToGrid/>
        <w:textAlignment w:val="auto"/>
        <w:rPr>
          <w:rFonts w:hint="eastAsia" w:eastAsia="宋体"/>
          <w:lang w:eastAsia="zh-CN"/>
        </w:rPr>
      </w:pPr>
      <w:r>
        <w:rPr>
          <w:rFonts w:hint="eastAsia"/>
        </w:rPr>
        <w:t>GB 4806</w:t>
      </w:r>
      <w:r>
        <w:rPr>
          <w:rFonts w:hint="eastAsia"/>
          <w:lang w:val="en-US" w:eastAsia="zh-CN"/>
        </w:rPr>
        <w:t>.1</w:t>
      </w:r>
      <w:r>
        <w:rPr>
          <w:rFonts w:hint="eastAsia"/>
          <w:lang w:val="en-US" w:eastAsia="zh-CN"/>
        </w:rPr>
        <w:tab/>
      </w:r>
      <w:r>
        <w:rPr>
          <w:rFonts w:hint="eastAsia"/>
          <w:lang w:val="en-US" w:eastAsia="zh-CN"/>
        </w:rPr>
        <w:tab/>
      </w:r>
      <w:r>
        <w:rPr>
          <w:rFonts w:hint="eastAsia"/>
          <w:lang w:val="en-US" w:eastAsia="zh-CN"/>
        </w:rPr>
        <w:t xml:space="preserve"> </w:t>
      </w:r>
      <w:r>
        <w:rPr>
          <w:rFonts w:hint="eastAsia"/>
        </w:rPr>
        <w:t>食品安全国家标准 食品接触材料及制品</w:t>
      </w:r>
      <w:r>
        <w:rPr>
          <w:rFonts w:hint="eastAsia"/>
          <w:lang w:eastAsia="zh-CN"/>
        </w:rPr>
        <w:t>通用安全要求</w:t>
      </w:r>
    </w:p>
    <w:p w14:paraId="300F53B0">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 5009.3</w:t>
      </w:r>
      <w:r>
        <w:rPr>
          <w:rFonts w:hint="eastAsia"/>
          <w:lang w:val="en-US" w:eastAsia="zh-CN"/>
        </w:rPr>
        <w:tab/>
      </w:r>
      <w:r>
        <w:rPr>
          <w:rFonts w:hint="eastAsia"/>
          <w:lang w:val="en-US" w:eastAsia="zh-CN"/>
        </w:rPr>
        <w:tab/>
      </w:r>
      <w:r>
        <w:rPr>
          <w:rFonts w:hint="eastAsia"/>
          <w:lang w:val="en-US" w:eastAsia="zh-CN"/>
        </w:rPr>
        <w:t xml:space="preserve"> </w:t>
      </w:r>
      <w:r>
        <w:rPr>
          <w:rFonts w:hint="eastAsia"/>
        </w:rPr>
        <w:t>食品安全国家标准 食品中水分的测定</w:t>
      </w:r>
    </w:p>
    <w:p w14:paraId="0046DDE9">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rPr>
        <w:t>GB 5009.4</w:t>
      </w:r>
      <w:r>
        <w:rPr>
          <w:rFonts w:hint="eastAsia"/>
          <w:lang w:val="en-US" w:eastAsia="zh-CN"/>
        </w:rPr>
        <w:tab/>
      </w:r>
      <w:r>
        <w:rPr>
          <w:rFonts w:hint="eastAsia"/>
          <w:lang w:val="en-US" w:eastAsia="zh-CN"/>
        </w:rPr>
        <w:tab/>
      </w:r>
      <w:r>
        <w:rPr>
          <w:rFonts w:hint="eastAsia"/>
          <w:lang w:val="en-US" w:eastAsia="zh-CN"/>
        </w:rPr>
        <w:t xml:space="preserve"> </w:t>
      </w:r>
      <w:r>
        <w:rPr>
          <w:rFonts w:hint="eastAsia"/>
        </w:rPr>
        <w:t>食品安全国家标准 食品中灰分的测定</w:t>
      </w:r>
    </w:p>
    <w:p w14:paraId="7AFAE8A0">
      <w:pPr>
        <w:pStyle w:val="231"/>
        <w:keepNext w:val="0"/>
        <w:keepLines w:val="0"/>
        <w:pageBreakBefore w:val="0"/>
        <w:widowControl w:val="0"/>
        <w:kinsoku/>
        <w:wordWrap/>
        <w:overflowPunct/>
        <w:topLinePunct w:val="0"/>
        <w:autoSpaceDE/>
        <w:autoSpaceDN/>
        <w:bidi w:val="0"/>
        <w:adjustRightInd w:val="0"/>
        <w:snapToGrid/>
        <w:textAlignment w:val="auto"/>
        <w:rPr>
          <w:rFonts w:hint="eastAsia" w:eastAsia="宋体" w:cs="Calibri"/>
          <w:szCs w:val="21"/>
        </w:rPr>
      </w:pPr>
      <w:r>
        <w:rPr>
          <w:rFonts w:hint="eastAsia" w:eastAsia="宋体" w:cs="Calibri"/>
          <w:szCs w:val="21"/>
        </w:rPr>
        <w:t>NY/T 4357</w:t>
      </w:r>
      <w:r>
        <w:rPr>
          <w:rFonts w:hint="eastAsia" w:cs="Calibri"/>
          <w:szCs w:val="21"/>
          <w:lang w:val="en-US" w:eastAsia="zh-CN"/>
        </w:rPr>
        <w:tab/>
      </w:r>
      <w:r>
        <w:rPr>
          <w:rFonts w:hint="eastAsia" w:cs="Calibri"/>
          <w:szCs w:val="21"/>
          <w:lang w:val="en-US" w:eastAsia="zh-CN"/>
        </w:rPr>
        <w:tab/>
      </w:r>
      <w:r>
        <w:rPr>
          <w:rFonts w:hint="eastAsia" w:cs="Calibri"/>
          <w:szCs w:val="21"/>
          <w:lang w:val="en-US" w:eastAsia="zh-CN"/>
        </w:rPr>
        <w:t xml:space="preserve"> </w:t>
      </w:r>
      <w:r>
        <w:rPr>
          <w:rFonts w:hint="eastAsia" w:eastAsia="宋体" w:cs="Calibri"/>
          <w:szCs w:val="21"/>
        </w:rPr>
        <w:t>植物源性食品中叶绿素的测定 高效液相色谱法</w:t>
      </w:r>
    </w:p>
    <w:p w14:paraId="7BC41D78">
      <w:pPr>
        <w:pStyle w:val="231"/>
        <w:keepNext w:val="0"/>
        <w:keepLines w:val="0"/>
        <w:pageBreakBefore w:val="0"/>
        <w:widowControl w:val="0"/>
        <w:kinsoku/>
        <w:wordWrap/>
        <w:overflowPunct/>
        <w:topLinePunct w:val="0"/>
        <w:autoSpaceDE/>
        <w:autoSpaceDN/>
        <w:bidi w:val="0"/>
        <w:adjustRightInd w:val="0"/>
        <w:snapToGrid/>
        <w:textAlignment w:val="auto"/>
      </w:pPr>
      <w:r>
        <w:t>GH/T 1070</w:t>
      </w:r>
      <w:r>
        <w:tab/>
      </w:r>
      <w:r>
        <w:tab/>
      </w:r>
      <w:r>
        <w:rPr>
          <w:rFonts w:hint="eastAsia"/>
          <w:lang w:val="en-US" w:eastAsia="zh-CN"/>
        </w:rPr>
        <w:t xml:space="preserve"> </w:t>
      </w:r>
      <w:r>
        <w:t>茶叶包装通则</w:t>
      </w:r>
    </w:p>
    <w:p w14:paraId="2F32DC59">
      <w:pPr>
        <w:pStyle w:val="231"/>
        <w:keepNext w:val="0"/>
        <w:keepLines w:val="0"/>
        <w:pageBreakBefore w:val="0"/>
        <w:widowControl w:val="0"/>
        <w:kinsoku/>
        <w:wordWrap/>
        <w:overflowPunct/>
        <w:topLinePunct w:val="0"/>
        <w:autoSpaceDE/>
        <w:autoSpaceDN/>
        <w:bidi w:val="0"/>
        <w:adjustRightInd w:val="0"/>
        <w:snapToGrid/>
        <w:textAlignment w:val="auto"/>
      </w:pPr>
      <w:r>
        <w:rPr>
          <w:rFonts w:hint="eastAsia"/>
        </w:rPr>
        <w:t>JJF 1070</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 xml:space="preserve"> </w:t>
      </w:r>
      <w:r>
        <w:rPr>
          <w:rFonts w:hint="eastAsia"/>
        </w:rPr>
        <w:t>定量包装商品净含量计量检验规则</w:t>
      </w:r>
    </w:p>
    <w:p w14:paraId="5D46612D">
      <w:pPr>
        <w:pStyle w:val="231"/>
        <w:keepNext w:val="0"/>
        <w:keepLines w:val="0"/>
        <w:pageBreakBefore w:val="0"/>
        <w:widowControl w:val="0"/>
        <w:kinsoku/>
        <w:wordWrap/>
        <w:overflowPunct/>
        <w:topLinePunct w:val="0"/>
        <w:autoSpaceDE/>
        <w:autoSpaceDN/>
        <w:bidi w:val="0"/>
        <w:adjustRightInd w:val="0"/>
        <w:snapToGrid/>
        <w:textAlignment w:val="auto"/>
        <w:rPr>
          <w:rFonts w:hint="eastAsia"/>
        </w:rPr>
      </w:pPr>
      <w:r>
        <w:rPr>
          <w:rFonts w:hint="eastAsia" w:eastAsia="宋体" w:cs="Calibri"/>
          <w:szCs w:val="21"/>
        </w:rPr>
        <w:t>定量包装商品计量监督管理办法</w:t>
      </w:r>
    </w:p>
    <w:p w14:paraId="40EF840C">
      <w:pPr>
        <w:pStyle w:val="104"/>
        <w:spacing w:before="240" w:after="240"/>
      </w:pPr>
      <w:bookmarkStart w:id="48" w:name="_Toc8248"/>
      <w:bookmarkStart w:id="49" w:name="_Toc97192966"/>
      <w:bookmarkStart w:id="50" w:name="_Toc339"/>
      <w:r>
        <w:rPr>
          <w:rFonts w:hint="eastAsia"/>
          <w:szCs w:val="21"/>
        </w:rPr>
        <w:t>术语和定义</w:t>
      </w:r>
      <w:bookmarkEnd w:id="48"/>
      <w:bookmarkEnd w:id="49"/>
      <w:bookmarkEnd w:id="50"/>
    </w:p>
    <w:sdt>
      <w:sdtPr>
        <w:id w:val="-1909835108"/>
        <w:placeholder>
          <w:docPart w:val="DD487E154D8B46B1811108614A11313A"/>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FA990C2">
          <w:pPr>
            <w:pStyle w:val="56"/>
            <w:ind w:firstLine="420"/>
          </w:pPr>
          <w:bookmarkStart w:id="51" w:name="_Toc26986532"/>
          <w:bookmarkEnd w:id="51"/>
          <w:r>
            <w:rPr>
              <w:rFonts w:hint="default"/>
              <w:lang w:val="en-US" w:eastAsia="zh-CN"/>
            </w:rPr>
            <w:t>GB/T 14487、GB/T 34778</w:t>
          </w:r>
          <w:r>
            <w:rPr>
              <w:rFonts w:ascii="Times New Roman" w:hAnsi="Times New Roman" w:eastAsia="宋体" w:cs="Times New Roman"/>
              <w:sz w:val="21"/>
              <w:lang w:val="en-US" w:eastAsia="zh-CN" w:bidi="ar-SA"/>
            </w:rPr>
            <w:t>界定的以及下列术语和定义适用于本文件。</w:t>
          </w:r>
        </w:p>
      </w:sdtContent>
    </w:sdt>
    <w:p w14:paraId="6723387E">
      <w:pPr>
        <w:pStyle w:val="56"/>
        <w:ind w:firstLine="420"/>
        <w:rPr>
          <w:rFonts w:hint="eastAsia" w:eastAsia="宋体"/>
          <w:lang w:eastAsia="zh-CN"/>
        </w:rPr>
      </w:pPr>
    </w:p>
    <w:p w14:paraId="73816486">
      <w:pPr>
        <w:pStyle w:val="232"/>
        <w:numPr>
          <w:ilvl w:val="2"/>
          <w:numId w:val="0"/>
        </w:numPr>
        <w:ind w:left="0" w:leftChars="0" w:firstLine="0" w:firstLineChars="0"/>
        <w:outlineLvl w:val="2"/>
        <w:rPr>
          <w:rFonts w:hint="eastAsia"/>
          <w:lang w:val="en-US" w:eastAsia="zh-CN"/>
        </w:rPr>
      </w:pPr>
      <w:bookmarkStart w:id="52" w:name="_Toc14214"/>
      <w:r>
        <w:rPr>
          <w:rFonts w:hint="eastAsia"/>
          <w:lang w:val="en-US" w:eastAsia="zh-CN"/>
        </w:rPr>
        <w:t>3.1  碾茶 Tencha</w:t>
      </w:r>
      <w:bookmarkEnd w:id="52"/>
    </w:p>
    <w:p w14:paraId="4F88689C">
      <w:pPr>
        <w:pStyle w:val="231"/>
        <w:rPr>
          <w:rFonts w:hint="default"/>
          <w:lang w:val="en-US" w:eastAsia="zh-CN"/>
        </w:rPr>
      </w:pPr>
      <w:r>
        <w:rPr>
          <w:rFonts w:hint="default"/>
          <w:lang w:val="en-US" w:eastAsia="zh-CN"/>
        </w:rPr>
        <w:t>以覆盖栽培茶树鲜叶为原料，经杀青、干燥、除梗精选等工序制成，用于研磨加工抹茶的原料茶。</w:t>
      </w:r>
    </w:p>
    <w:p w14:paraId="67790B84">
      <w:pPr>
        <w:pStyle w:val="104"/>
        <w:bidi w:val="0"/>
      </w:pPr>
      <w:bookmarkStart w:id="53" w:name="_Toc17240"/>
      <w:bookmarkStart w:id="54" w:name="_Toc26967"/>
      <w:r>
        <w:rPr>
          <w:rFonts w:hint="eastAsia"/>
          <w:lang w:val="en-US" w:eastAsia="zh-CN"/>
        </w:rPr>
        <w:t>产品要求</w:t>
      </w:r>
      <w:bookmarkEnd w:id="53"/>
      <w:bookmarkEnd w:id="54"/>
    </w:p>
    <w:p w14:paraId="5A5000E0">
      <w:pPr>
        <w:pStyle w:val="105"/>
        <w:bidi w:val="0"/>
      </w:pPr>
      <w:bookmarkStart w:id="55" w:name="_Toc29482"/>
      <w:bookmarkStart w:id="56" w:name="_Toc8486"/>
      <w:r>
        <w:t>基本要求</w:t>
      </w:r>
      <w:bookmarkEnd w:id="55"/>
      <w:bookmarkEnd w:id="56"/>
    </w:p>
    <w:p w14:paraId="0E9752BF">
      <w:pPr>
        <w:pStyle w:val="231"/>
        <w:ind w:left="0" w:leftChars="0" w:firstLine="0" w:firstLineChars="0"/>
        <w:rPr>
          <w:rFonts w:hint="eastAsia"/>
          <w:lang w:val="en-US" w:eastAsia="zh-CN"/>
        </w:rPr>
      </w:pPr>
      <w:r>
        <w:t>4.1.1  产品应具有抹茶固有的色泽、香气、滋味和粉体品质特征，不得霉变、劣变，不得有异味。</w:t>
      </w:r>
    </w:p>
    <w:p w14:paraId="2C988E6E">
      <w:pPr>
        <w:pStyle w:val="231"/>
        <w:ind w:left="0" w:leftChars="0" w:firstLine="0" w:firstLineChars="0"/>
        <w:rPr>
          <w:rFonts w:hint="eastAsia"/>
          <w:lang w:val="en-US" w:eastAsia="zh-CN"/>
        </w:rPr>
      </w:pPr>
      <w:r>
        <w:t>4.1.2  产品应洁净，不得含有非茶类夹杂物和可见外来异物。</w:t>
      </w:r>
    </w:p>
    <w:p w14:paraId="69CC850A">
      <w:pPr>
        <w:pStyle w:val="231"/>
        <w:ind w:left="0" w:leftChars="0" w:firstLine="0" w:firstLineChars="0"/>
        <w:rPr>
          <w:rFonts w:hint="eastAsia"/>
          <w:lang w:val="en-US" w:eastAsia="zh-CN"/>
        </w:rPr>
      </w:pPr>
      <w:r>
        <w:t>4.1.3  产品原料应为符合本文件要求的覆盖栽培茶树鲜叶制得的碾茶，不得使用霉变、劣变、陈化或混入非茶类夹杂物的原料；原料验收应记录来源、等级和批次，确保可追溯。</w:t>
      </w:r>
    </w:p>
    <w:p w14:paraId="77436524">
      <w:pPr>
        <w:pStyle w:val="231"/>
        <w:ind w:left="0" w:leftChars="0" w:firstLine="0" w:firstLineChars="0"/>
        <w:rPr>
          <w:rFonts w:hint="default"/>
          <w:lang w:val="en-US" w:eastAsia="zh-CN"/>
        </w:rPr>
      </w:pPr>
      <w:r>
        <w:t>4.1.4  不得添加着色剂、甜味剂、香精香料、防腐剂以及糖类、乳粉、植脂末等非茶类食品配料；不得使用非茶类物质改善产品色泽、香气、滋味或颗粒状态。</w:t>
      </w:r>
    </w:p>
    <w:p w14:paraId="3869F981">
      <w:pPr>
        <w:pStyle w:val="105"/>
        <w:bidi w:val="0"/>
      </w:pPr>
      <w:bookmarkStart w:id="57" w:name="_Toc6545"/>
      <w:bookmarkStart w:id="58" w:name="_Toc15383"/>
      <w:r>
        <w:rPr>
          <w:rFonts w:hint="eastAsia"/>
          <w:lang w:val="en-US" w:eastAsia="zh-CN"/>
        </w:rPr>
        <w:t>感官要求</w:t>
      </w:r>
      <w:bookmarkEnd w:id="57"/>
      <w:bookmarkEnd w:id="58"/>
    </w:p>
    <w:p w14:paraId="280C28C5">
      <w:pPr>
        <w:pStyle w:val="56"/>
        <w:rPr>
          <w:rFonts w:hint="eastAsia"/>
          <w:lang w:val="en-US" w:eastAsia="zh-CN"/>
        </w:rPr>
      </w:pPr>
      <w:r>
        <w:t>感官</w:t>
      </w:r>
      <w:r>
        <w:rPr>
          <w:rFonts w:hint="eastAsia"/>
          <w:lang w:val="en-US" w:eastAsia="zh-CN"/>
        </w:rPr>
        <w:t>要求</w:t>
      </w:r>
      <w:r>
        <w:t>应符合表1</w:t>
      </w:r>
      <w:r>
        <w:rPr>
          <w:rFonts w:hint="eastAsia"/>
          <w:lang w:val="en-US" w:eastAsia="zh-CN"/>
        </w:rPr>
        <w:t>的规定。</w:t>
      </w:r>
    </w:p>
    <w:p w14:paraId="2A7EDE2C">
      <w:pPr>
        <w:pStyle w:val="113"/>
        <w:bidi w:val="0"/>
      </w:pPr>
      <w:r>
        <w:rPr>
          <w:rFonts w:hint="eastAsia"/>
          <w:lang w:val="en-US" w:eastAsia="zh-CN"/>
        </w:rPr>
        <w:t>感官指标</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1592"/>
        <w:gridCol w:w="1592"/>
        <w:gridCol w:w="6370"/>
      </w:tblGrid>
      <w:tr w14:paraId="3B2DC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3184" w:type="dxa"/>
            <w:gridSpan w:val="2"/>
            <w:tcBorders>
              <w:bottom w:val="single" w:color="auto" w:sz="8" w:space="0"/>
            </w:tcBorders>
            <w:vAlign w:val="center"/>
          </w:tcPr>
          <w:p w14:paraId="0129BE6E">
            <w:pPr>
              <w:pStyle w:val="179"/>
              <w:bidi w:val="0"/>
              <w:spacing w:line="240" w:lineRule="auto"/>
              <w:jc w:val="center"/>
              <w:rPr>
                <w:rFonts w:hint="eastAsia" w:eastAsia="宋体"/>
                <w:lang w:val="en-US" w:eastAsia="zh-CN"/>
              </w:rPr>
            </w:pPr>
            <w:r>
              <w:rPr>
                <w:rFonts w:hint="eastAsia"/>
                <w:lang w:val="en-US" w:eastAsia="zh-CN"/>
              </w:rPr>
              <w:t>项目</w:t>
            </w:r>
          </w:p>
        </w:tc>
        <w:tc>
          <w:tcPr>
            <w:tcW w:w="6370" w:type="dxa"/>
            <w:tcBorders>
              <w:bottom w:val="single" w:color="auto" w:sz="8" w:space="0"/>
            </w:tcBorders>
            <w:vAlign w:val="center"/>
          </w:tcPr>
          <w:p w14:paraId="2E673F43">
            <w:pPr>
              <w:pStyle w:val="179"/>
              <w:bidi w:val="0"/>
              <w:spacing w:line="240" w:lineRule="auto"/>
              <w:jc w:val="center"/>
              <w:rPr>
                <w:rFonts w:hint="eastAsia" w:eastAsia="宋体"/>
                <w:lang w:val="en-US" w:eastAsia="zh-CN"/>
              </w:rPr>
            </w:pPr>
            <w:r>
              <w:rPr>
                <w:rFonts w:hint="eastAsia"/>
                <w:lang w:val="en-US" w:eastAsia="zh-CN"/>
              </w:rPr>
              <w:t>要求</w:t>
            </w:r>
          </w:p>
        </w:tc>
      </w:tr>
      <w:tr w14:paraId="5CF3ED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592" w:type="dxa"/>
            <w:vMerge w:val="restart"/>
            <w:tcBorders>
              <w:top w:val="single" w:color="auto" w:sz="8" w:space="0"/>
            </w:tcBorders>
            <w:vAlign w:val="center"/>
          </w:tcPr>
          <w:p w14:paraId="63BED888">
            <w:pPr>
              <w:pStyle w:val="179"/>
              <w:bidi w:val="0"/>
              <w:spacing w:line="240" w:lineRule="auto"/>
              <w:jc w:val="center"/>
              <w:rPr>
                <w:rFonts w:hint="eastAsia" w:eastAsia="宋体"/>
                <w:lang w:val="en-US" w:eastAsia="zh-CN"/>
              </w:rPr>
            </w:pPr>
            <w:r>
              <w:rPr>
                <w:rFonts w:hint="eastAsia"/>
                <w:lang w:val="en-US" w:eastAsia="zh-CN"/>
              </w:rPr>
              <w:t>外形</w:t>
            </w:r>
          </w:p>
        </w:tc>
        <w:tc>
          <w:tcPr>
            <w:tcW w:w="1592" w:type="dxa"/>
            <w:tcBorders>
              <w:top w:val="single" w:color="auto" w:sz="8" w:space="0"/>
            </w:tcBorders>
            <w:vAlign w:val="center"/>
          </w:tcPr>
          <w:p w14:paraId="21CE3BF8">
            <w:pPr>
              <w:pStyle w:val="179"/>
              <w:bidi w:val="0"/>
              <w:spacing w:line="240" w:lineRule="auto"/>
              <w:jc w:val="center"/>
              <w:rPr>
                <w:rFonts w:hint="eastAsia" w:eastAsia="宋体"/>
                <w:lang w:val="en-US" w:eastAsia="zh-CN"/>
              </w:rPr>
            </w:pPr>
            <w:r>
              <w:rPr>
                <w:rFonts w:hint="eastAsia"/>
                <w:lang w:val="en-US" w:eastAsia="zh-CN"/>
              </w:rPr>
              <w:t>色泽</w:t>
            </w:r>
          </w:p>
        </w:tc>
        <w:tc>
          <w:tcPr>
            <w:tcW w:w="6370" w:type="dxa"/>
            <w:tcBorders>
              <w:top w:val="single" w:color="auto" w:sz="8" w:space="0"/>
            </w:tcBorders>
            <w:vAlign w:val="center"/>
          </w:tcPr>
          <w:p w14:paraId="458B83E2">
            <w:pPr>
              <w:pStyle w:val="179"/>
              <w:bidi w:val="0"/>
              <w:spacing w:line="240" w:lineRule="auto"/>
              <w:jc w:val="center"/>
              <w:rPr>
                <w:rFonts w:hint="default" w:eastAsia="宋体"/>
                <w:lang w:val="en-US" w:eastAsia="zh-CN"/>
              </w:rPr>
            </w:pPr>
            <w:r>
              <w:rPr>
                <w:rFonts w:hint="eastAsia"/>
                <w:lang w:val="en-US" w:eastAsia="zh-CN"/>
              </w:rPr>
              <w:t>鲜绿明亮</w:t>
            </w:r>
          </w:p>
        </w:tc>
      </w:tr>
      <w:tr w14:paraId="678D29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592" w:type="dxa"/>
            <w:vMerge w:val="continue"/>
            <w:vAlign w:val="center"/>
          </w:tcPr>
          <w:p w14:paraId="0B22132A">
            <w:pPr>
              <w:pStyle w:val="179"/>
              <w:bidi w:val="0"/>
              <w:spacing w:line="240" w:lineRule="auto"/>
              <w:jc w:val="center"/>
            </w:pPr>
          </w:p>
        </w:tc>
        <w:tc>
          <w:tcPr>
            <w:tcW w:w="1592" w:type="dxa"/>
            <w:vAlign w:val="center"/>
          </w:tcPr>
          <w:p w14:paraId="4AD7CE6C">
            <w:pPr>
              <w:pStyle w:val="179"/>
              <w:bidi w:val="0"/>
              <w:spacing w:line="240" w:lineRule="auto"/>
              <w:jc w:val="center"/>
              <w:rPr>
                <w:rFonts w:hint="eastAsia" w:eastAsia="宋体"/>
                <w:lang w:val="en-US" w:eastAsia="zh-CN"/>
              </w:rPr>
            </w:pPr>
            <w:r>
              <w:rPr>
                <w:rFonts w:hint="eastAsia"/>
                <w:lang w:val="en-US" w:eastAsia="zh-CN"/>
              </w:rPr>
              <w:t>颗粒</w:t>
            </w:r>
          </w:p>
        </w:tc>
        <w:tc>
          <w:tcPr>
            <w:tcW w:w="6370" w:type="dxa"/>
            <w:vAlign w:val="center"/>
          </w:tcPr>
          <w:p w14:paraId="483E2EA0">
            <w:pPr>
              <w:pStyle w:val="179"/>
              <w:bidi w:val="0"/>
              <w:spacing w:line="240" w:lineRule="auto"/>
              <w:jc w:val="center"/>
              <w:rPr>
                <w:rFonts w:hint="default" w:eastAsia="宋体"/>
                <w:lang w:val="en-US" w:eastAsia="zh-CN"/>
              </w:rPr>
            </w:pPr>
            <w:r>
              <w:rPr>
                <w:rFonts w:hint="eastAsia"/>
                <w:lang w:val="en-US" w:eastAsia="zh-CN"/>
              </w:rPr>
              <w:t>柔软细腻均匀</w:t>
            </w:r>
          </w:p>
        </w:tc>
      </w:tr>
      <w:tr w14:paraId="6C9D16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592" w:type="dxa"/>
            <w:vMerge w:val="restart"/>
            <w:vAlign w:val="center"/>
          </w:tcPr>
          <w:p w14:paraId="09C29A35">
            <w:pPr>
              <w:pStyle w:val="179"/>
              <w:bidi w:val="0"/>
              <w:spacing w:line="240" w:lineRule="auto"/>
              <w:jc w:val="center"/>
              <w:rPr>
                <w:rFonts w:hint="default" w:eastAsia="宋体"/>
                <w:lang w:val="en-US" w:eastAsia="zh-CN"/>
              </w:rPr>
            </w:pPr>
            <w:r>
              <w:rPr>
                <w:rFonts w:hint="eastAsia"/>
                <w:lang w:val="en-US" w:eastAsia="zh-CN"/>
              </w:rPr>
              <w:t>内质</w:t>
            </w:r>
          </w:p>
        </w:tc>
        <w:tc>
          <w:tcPr>
            <w:tcW w:w="1592" w:type="dxa"/>
            <w:vAlign w:val="center"/>
          </w:tcPr>
          <w:p w14:paraId="0688CEDD">
            <w:pPr>
              <w:pStyle w:val="179"/>
              <w:bidi w:val="0"/>
              <w:spacing w:line="240" w:lineRule="auto"/>
              <w:jc w:val="center"/>
              <w:rPr>
                <w:rFonts w:hint="eastAsia" w:eastAsia="宋体"/>
                <w:lang w:val="en-US" w:eastAsia="zh-CN"/>
              </w:rPr>
            </w:pPr>
            <w:r>
              <w:rPr>
                <w:rFonts w:hint="eastAsia"/>
                <w:lang w:val="en-US" w:eastAsia="zh-CN"/>
              </w:rPr>
              <w:t>香气</w:t>
            </w:r>
          </w:p>
        </w:tc>
        <w:tc>
          <w:tcPr>
            <w:tcW w:w="6370" w:type="dxa"/>
            <w:vAlign w:val="center"/>
          </w:tcPr>
          <w:p w14:paraId="708B8999">
            <w:pPr>
              <w:pStyle w:val="179"/>
              <w:bidi w:val="0"/>
              <w:spacing w:line="240" w:lineRule="auto"/>
              <w:jc w:val="center"/>
              <w:rPr>
                <w:rFonts w:hint="default" w:eastAsia="宋体"/>
                <w:lang w:val="en-US" w:eastAsia="zh-CN"/>
              </w:rPr>
            </w:pPr>
            <w:r>
              <w:rPr>
                <w:rFonts w:hint="eastAsia"/>
                <w:lang w:val="en-US" w:eastAsia="zh-CN"/>
              </w:rPr>
              <w:t>覆盖香显著</w:t>
            </w:r>
          </w:p>
        </w:tc>
      </w:tr>
      <w:tr w14:paraId="3E869F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592" w:type="dxa"/>
            <w:vMerge w:val="continue"/>
            <w:vAlign w:val="center"/>
          </w:tcPr>
          <w:p w14:paraId="26D9F538">
            <w:pPr>
              <w:pStyle w:val="179"/>
              <w:bidi w:val="0"/>
              <w:spacing w:line="240" w:lineRule="auto"/>
              <w:jc w:val="center"/>
            </w:pPr>
          </w:p>
        </w:tc>
        <w:tc>
          <w:tcPr>
            <w:tcW w:w="1592" w:type="dxa"/>
            <w:vAlign w:val="center"/>
          </w:tcPr>
          <w:p w14:paraId="613135C0">
            <w:pPr>
              <w:pStyle w:val="179"/>
              <w:bidi w:val="0"/>
              <w:spacing w:line="240" w:lineRule="auto"/>
              <w:jc w:val="center"/>
              <w:rPr>
                <w:rFonts w:hint="eastAsia" w:eastAsia="宋体"/>
                <w:lang w:val="en-US" w:eastAsia="zh-CN"/>
              </w:rPr>
            </w:pPr>
            <w:r>
              <w:rPr>
                <w:rFonts w:hint="eastAsia"/>
                <w:lang w:val="en-US" w:eastAsia="zh-CN"/>
              </w:rPr>
              <w:t>汤色</w:t>
            </w:r>
          </w:p>
        </w:tc>
        <w:tc>
          <w:tcPr>
            <w:tcW w:w="6370" w:type="dxa"/>
            <w:vAlign w:val="center"/>
          </w:tcPr>
          <w:p w14:paraId="135CDA94">
            <w:pPr>
              <w:pStyle w:val="179"/>
              <w:bidi w:val="0"/>
              <w:spacing w:line="240" w:lineRule="auto"/>
              <w:jc w:val="center"/>
              <w:rPr>
                <w:rFonts w:hint="default" w:eastAsia="宋体"/>
                <w:lang w:val="en-US" w:eastAsia="zh-CN"/>
              </w:rPr>
            </w:pPr>
            <w:r>
              <w:rPr>
                <w:rFonts w:hint="eastAsia"/>
                <w:lang w:val="en-US" w:eastAsia="zh-CN"/>
              </w:rPr>
              <w:t>鲜浓绿</w:t>
            </w:r>
          </w:p>
        </w:tc>
      </w:tr>
      <w:tr w14:paraId="02F243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592" w:type="dxa"/>
            <w:vMerge w:val="continue"/>
            <w:vAlign w:val="center"/>
          </w:tcPr>
          <w:p w14:paraId="6083B561">
            <w:pPr>
              <w:pStyle w:val="179"/>
              <w:bidi w:val="0"/>
              <w:spacing w:line="240" w:lineRule="auto"/>
              <w:jc w:val="center"/>
            </w:pPr>
          </w:p>
        </w:tc>
        <w:tc>
          <w:tcPr>
            <w:tcW w:w="1592" w:type="dxa"/>
            <w:vAlign w:val="center"/>
          </w:tcPr>
          <w:p w14:paraId="75F2A597">
            <w:pPr>
              <w:pStyle w:val="179"/>
              <w:bidi w:val="0"/>
              <w:spacing w:line="240" w:lineRule="auto"/>
              <w:jc w:val="center"/>
              <w:rPr>
                <w:rFonts w:hint="eastAsia" w:eastAsia="宋体"/>
                <w:lang w:val="en-US" w:eastAsia="zh-CN"/>
              </w:rPr>
            </w:pPr>
            <w:r>
              <w:rPr>
                <w:rFonts w:hint="eastAsia"/>
                <w:lang w:val="en-US" w:eastAsia="zh-CN"/>
              </w:rPr>
              <w:t>滋味</w:t>
            </w:r>
          </w:p>
        </w:tc>
        <w:tc>
          <w:tcPr>
            <w:tcW w:w="6370" w:type="dxa"/>
            <w:vAlign w:val="center"/>
          </w:tcPr>
          <w:p w14:paraId="0C188E2D">
            <w:pPr>
              <w:pStyle w:val="179"/>
              <w:bidi w:val="0"/>
              <w:spacing w:line="240" w:lineRule="auto"/>
              <w:jc w:val="center"/>
              <w:rPr>
                <w:rFonts w:hint="default" w:eastAsia="宋体"/>
                <w:lang w:val="en-US" w:eastAsia="zh-CN"/>
              </w:rPr>
            </w:pPr>
            <w:r>
              <w:rPr>
                <w:rFonts w:hint="eastAsia"/>
                <w:lang w:val="en-US" w:eastAsia="zh-CN"/>
              </w:rPr>
              <w:t>纯爽味浓</w:t>
            </w:r>
          </w:p>
        </w:tc>
      </w:tr>
    </w:tbl>
    <w:p w14:paraId="45CFC472">
      <w:pPr>
        <w:pStyle w:val="56"/>
        <w:bidi w:val="0"/>
      </w:pPr>
    </w:p>
    <w:p w14:paraId="65EDF927">
      <w:pPr>
        <w:pStyle w:val="105"/>
        <w:bidi w:val="0"/>
      </w:pPr>
      <w:bookmarkStart w:id="59" w:name="_Toc11868"/>
      <w:bookmarkStart w:id="60" w:name="_Toc16507"/>
      <w:r>
        <w:rPr>
          <w:rFonts w:hint="eastAsia"/>
          <w:lang w:val="en-US" w:eastAsia="zh-CN"/>
        </w:rPr>
        <w:t>理化指标</w:t>
      </w:r>
      <w:bookmarkEnd w:id="59"/>
      <w:bookmarkEnd w:id="60"/>
    </w:p>
    <w:p w14:paraId="7B946FC8">
      <w:pPr>
        <w:pStyle w:val="56"/>
        <w:bidi w:val="0"/>
        <w:rPr>
          <w:rFonts w:hint="eastAsia"/>
          <w:lang w:val="en-US" w:eastAsia="zh-CN"/>
        </w:rPr>
      </w:pPr>
      <w:r>
        <w:rPr>
          <w:rFonts w:hint="eastAsia"/>
          <w:lang w:val="en-US" w:eastAsia="zh-CN"/>
        </w:rPr>
        <w:t>理化指标应符合表2的规定。</w:t>
      </w:r>
    </w:p>
    <w:p w14:paraId="017BE05F">
      <w:pPr>
        <w:pStyle w:val="113"/>
        <w:bidi w:val="0"/>
        <w:rPr>
          <w:rFonts w:hint="default"/>
          <w:lang w:val="en-US" w:eastAsia="zh-CN"/>
        </w:rPr>
      </w:pPr>
      <w:r>
        <w:rPr>
          <w:rFonts w:hint="eastAsia"/>
          <w:lang w:val="en-US" w:eastAsia="zh-CN"/>
        </w:rPr>
        <w:t>理化指标</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3211"/>
        <w:gridCol w:w="6343"/>
      </w:tblGrid>
      <w:tr w14:paraId="29D0DE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3211" w:type="dxa"/>
            <w:tcBorders>
              <w:bottom w:val="single" w:color="auto" w:sz="8" w:space="0"/>
            </w:tcBorders>
            <w:vAlign w:val="center"/>
          </w:tcPr>
          <w:p w14:paraId="7AB85B02">
            <w:pPr>
              <w:pStyle w:val="179"/>
              <w:bidi w:val="0"/>
              <w:spacing w:line="240" w:lineRule="auto"/>
              <w:jc w:val="center"/>
              <w:rPr>
                <w:rFonts w:hint="default"/>
                <w:lang w:val="en-US" w:eastAsia="zh-CN"/>
              </w:rPr>
            </w:pPr>
            <w:r>
              <w:rPr>
                <w:rFonts w:hint="eastAsia"/>
                <w:lang w:val="en-US" w:eastAsia="zh-CN"/>
              </w:rPr>
              <w:t>项目</w:t>
            </w:r>
          </w:p>
        </w:tc>
        <w:tc>
          <w:tcPr>
            <w:tcW w:w="6343" w:type="dxa"/>
            <w:tcBorders>
              <w:bottom w:val="single" w:color="auto" w:sz="8" w:space="0"/>
            </w:tcBorders>
            <w:vAlign w:val="center"/>
          </w:tcPr>
          <w:p w14:paraId="3FE212FA">
            <w:pPr>
              <w:pStyle w:val="179"/>
              <w:bidi w:val="0"/>
              <w:spacing w:line="240" w:lineRule="auto"/>
              <w:jc w:val="center"/>
              <w:rPr>
                <w:rFonts w:hint="default"/>
                <w:lang w:val="en-US" w:eastAsia="zh-CN"/>
              </w:rPr>
            </w:pPr>
            <w:r>
              <w:rPr>
                <w:rFonts w:hint="eastAsia"/>
                <w:lang w:val="en-US" w:eastAsia="zh-CN"/>
              </w:rPr>
              <w:t>要求</w:t>
            </w:r>
          </w:p>
        </w:tc>
      </w:tr>
      <w:tr w14:paraId="162C29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211" w:type="dxa"/>
            <w:tcBorders>
              <w:top w:val="single" w:color="auto" w:sz="8" w:space="0"/>
            </w:tcBorders>
            <w:vAlign w:val="center"/>
          </w:tcPr>
          <w:p w14:paraId="331BF595">
            <w:pPr>
              <w:pStyle w:val="179"/>
              <w:bidi w:val="0"/>
              <w:spacing w:line="240" w:lineRule="auto"/>
              <w:jc w:val="left"/>
              <w:rPr>
                <w:rFonts w:hint="eastAsia" w:ascii="宋体" w:hAnsi="宋体" w:eastAsia="宋体" w:cs="宋体"/>
                <w:sz w:val="18"/>
                <w:szCs w:val="18"/>
                <w:lang w:val="en-US" w:eastAsia="zh-CN"/>
              </w:rPr>
            </w:pPr>
            <w:r>
              <w:rPr>
                <w:rFonts w:hint="eastAsia" w:ascii="宋体" w:hAnsi="宋体" w:eastAsia="宋体" w:cs="宋体"/>
                <w:sz w:val="18"/>
                <w:szCs w:val="18"/>
              </w:rPr>
              <w:t>粒度（D60）/</w:t>
            </w:r>
            <w:r>
              <w:rPr>
                <w:rFonts w:hint="default" w:ascii="Times New Roman" w:hAnsi="Times New Roman" w:eastAsia="宋体" w:cs="Times New Roman"/>
                <w:sz w:val="18"/>
                <w:szCs w:val="18"/>
              </w:rPr>
              <w:t>μm</w:t>
            </w:r>
            <w:r>
              <w:rPr>
                <w:rFonts w:hint="eastAsia" w:ascii="宋体" w:hAnsi="宋体" w:cs="宋体"/>
                <w:sz w:val="18"/>
                <w:szCs w:val="18"/>
                <w:lang w:val="en-US" w:eastAsia="zh-CN"/>
              </w:rPr>
              <w:t xml:space="preserve"> </w:t>
            </w:r>
            <w:r>
              <w:rPr>
                <w:rFonts w:hint="eastAsia" w:ascii="宋体" w:hAnsi="宋体" w:eastAsia="宋体" w:cs="宋体"/>
                <w:sz w:val="18"/>
                <w:szCs w:val="18"/>
              </w:rPr>
              <w:t>≤</w:t>
            </w:r>
          </w:p>
        </w:tc>
        <w:tc>
          <w:tcPr>
            <w:tcW w:w="6343" w:type="dxa"/>
            <w:tcBorders>
              <w:top w:val="single" w:color="auto" w:sz="8" w:space="0"/>
            </w:tcBorders>
            <w:vAlign w:val="center"/>
          </w:tcPr>
          <w:p w14:paraId="29FC3AAE">
            <w:pPr>
              <w:pStyle w:val="179"/>
              <w:bidi w:val="0"/>
              <w:spacing w:line="240" w:lineRule="auto"/>
              <w:jc w:val="center"/>
              <w:rPr>
                <w:rFonts w:hint="default"/>
                <w:lang w:val="en-US" w:eastAsia="zh-CN"/>
              </w:rPr>
            </w:pPr>
            <w:r>
              <w:rPr>
                <w:rFonts w:hint="eastAsia"/>
                <w:lang w:val="en-US" w:eastAsia="zh-CN"/>
              </w:rPr>
              <w:t>15</w:t>
            </w:r>
          </w:p>
        </w:tc>
      </w:tr>
      <w:tr w14:paraId="12F719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211" w:type="dxa"/>
            <w:vAlign w:val="center"/>
          </w:tcPr>
          <w:p w14:paraId="797C9F92">
            <w:pPr>
              <w:pStyle w:val="179"/>
              <w:bidi w:val="0"/>
              <w:spacing w:line="240" w:lineRule="auto"/>
              <w:jc w:val="left"/>
              <w:rPr>
                <w:rFonts w:hint="eastAsia" w:ascii="宋体" w:hAnsi="宋体" w:eastAsia="宋体" w:cs="宋体"/>
                <w:sz w:val="18"/>
                <w:szCs w:val="18"/>
                <w:lang w:val="en-US" w:eastAsia="zh-CN"/>
              </w:rPr>
            </w:pPr>
            <w:r>
              <w:rPr>
                <w:rFonts w:hint="eastAsia" w:ascii="宋体" w:hAnsi="宋体" w:eastAsia="宋体" w:cs="宋体"/>
                <w:b w:val="0"/>
                <w:bCs/>
                <w:sz w:val="18"/>
                <w:szCs w:val="18"/>
              </w:rPr>
              <w:t>水分</w:t>
            </w:r>
            <w:r>
              <w:rPr>
                <w:rFonts w:hint="eastAsia" w:ascii="宋体" w:hAnsi="宋体" w:eastAsia="宋体" w:cs="宋体"/>
                <w:b w:val="0"/>
                <w:bCs/>
                <w:sz w:val="18"/>
                <w:szCs w:val="18"/>
                <w:lang w:eastAsia="zh-CN"/>
              </w:rPr>
              <w:t>（质量分数）</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 xml:space="preserve"> ≤</w:t>
            </w:r>
          </w:p>
        </w:tc>
        <w:tc>
          <w:tcPr>
            <w:tcW w:w="6343" w:type="dxa"/>
            <w:vAlign w:val="center"/>
          </w:tcPr>
          <w:p w14:paraId="77B84CAB">
            <w:pPr>
              <w:pStyle w:val="179"/>
              <w:bidi w:val="0"/>
              <w:spacing w:line="240" w:lineRule="auto"/>
              <w:jc w:val="center"/>
              <w:rPr>
                <w:rFonts w:hint="default"/>
                <w:lang w:val="en-US" w:eastAsia="zh-CN"/>
              </w:rPr>
            </w:pPr>
            <w:r>
              <w:rPr>
                <w:rFonts w:hint="eastAsia"/>
                <w:lang w:val="en-US" w:eastAsia="zh-CN"/>
              </w:rPr>
              <w:t>6.0</w:t>
            </w:r>
          </w:p>
        </w:tc>
      </w:tr>
      <w:tr w14:paraId="4A480E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211" w:type="dxa"/>
            <w:vAlign w:val="center"/>
          </w:tcPr>
          <w:p w14:paraId="2E07E558">
            <w:pPr>
              <w:pStyle w:val="179"/>
              <w:bidi w:val="0"/>
              <w:spacing w:line="240" w:lineRule="auto"/>
              <w:jc w:val="left"/>
              <w:rPr>
                <w:rFonts w:hint="eastAsia" w:ascii="宋体" w:hAnsi="宋体" w:eastAsia="宋体" w:cs="宋体"/>
                <w:sz w:val="18"/>
                <w:szCs w:val="18"/>
                <w:lang w:val="en-US" w:eastAsia="zh-CN"/>
              </w:rPr>
            </w:pPr>
            <w:r>
              <w:rPr>
                <w:rFonts w:hint="eastAsia" w:ascii="宋体" w:hAnsi="宋体" w:eastAsia="宋体" w:cs="宋体"/>
                <w:b w:val="0"/>
                <w:bCs/>
                <w:sz w:val="18"/>
                <w:szCs w:val="18"/>
              </w:rPr>
              <w:t>总灰分</w:t>
            </w:r>
            <w:r>
              <w:rPr>
                <w:rFonts w:hint="eastAsia" w:ascii="宋体" w:hAnsi="宋体" w:eastAsia="宋体" w:cs="宋体"/>
                <w:b w:val="0"/>
                <w:bCs/>
                <w:sz w:val="18"/>
                <w:szCs w:val="18"/>
                <w:lang w:eastAsia="zh-CN"/>
              </w:rPr>
              <w:t>（质量分数）</w:t>
            </w:r>
            <w:r>
              <w:rPr>
                <w:rFonts w:hint="eastAsia" w:ascii="宋体" w:hAnsi="宋体" w:eastAsia="宋体" w:cs="宋体"/>
                <w:b w:val="0"/>
                <w:bCs/>
                <w:sz w:val="18"/>
                <w:szCs w:val="18"/>
              </w:rPr>
              <w:t>/%</w:t>
            </w:r>
            <w:r>
              <w:rPr>
                <w:rFonts w:hint="eastAsia" w:ascii="宋体" w:hAnsi="宋体" w:eastAsia="宋体" w:cs="宋体"/>
                <w:b w:val="0"/>
                <w:bCs/>
                <w:sz w:val="18"/>
                <w:szCs w:val="18"/>
                <w:lang w:val="en-US" w:eastAsia="zh-CN"/>
              </w:rPr>
              <w:t xml:space="preserve"> ≤</w:t>
            </w:r>
          </w:p>
        </w:tc>
        <w:tc>
          <w:tcPr>
            <w:tcW w:w="6343" w:type="dxa"/>
            <w:vAlign w:val="center"/>
          </w:tcPr>
          <w:p w14:paraId="231EFBDE">
            <w:pPr>
              <w:pStyle w:val="179"/>
              <w:bidi w:val="0"/>
              <w:spacing w:line="240" w:lineRule="auto"/>
              <w:jc w:val="center"/>
              <w:rPr>
                <w:rFonts w:hint="default"/>
                <w:lang w:val="en-US" w:eastAsia="zh-CN"/>
              </w:rPr>
            </w:pPr>
            <w:r>
              <w:rPr>
                <w:rFonts w:hint="eastAsia"/>
                <w:lang w:val="en-US" w:eastAsia="zh-CN"/>
              </w:rPr>
              <w:t>8.0</w:t>
            </w:r>
          </w:p>
        </w:tc>
      </w:tr>
      <w:tr w14:paraId="07B963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211" w:type="dxa"/>
            <w:vAlign w:val="center"/>
          </w:tcPr>
          <w:p w14:paraId="66A33C05">
            <w:pPr>
              <w:pStyle w:val="179"/>
              <w:bidi w:val="0"/>
              <w:spacing w:line="240" w:lineRule="auto"/>
              <w:jc w:val="left"/>
              <w:rPr>
                <w:rFonts w:hint="eastAsia" w:ascii="宋体" w:hAnsi="宋体" w:eastAsia="宋体" w:cs="宋体"/>
                <w:color w:val="auto"/>
                <w:sz w:val="18"/>
                <w:szCs w:val="18"/>
                <w:lang w:val="en-US" w:eastAsia="zh-CN"/>
              </w:rPr>
            </w:pPr>
            <w:r>
              <w:rPr>
                <w:rFonts w:hint="eastAsia" w:ascii="宋体" w:hAnsi="宋体" w:eastAsia="宋体" w:cs="宋体"/>
                <w:b w:val="0"/>
                <w:bCs/>
                <w:color w:val="auto"/>
                <w:sz w:val="18"/>
                <w:szCs w:val="18"/>
              </w:rPr>
              <w:t>水浸出物</w:t>
            </w:r>
            <w:r>
              <w:rPr>
                <w:rFonts w:hint="eastAsia" w:ascii="宋体" w:hAnsi="宋体" w:eastAsia="宋体" w:cs="宋体"/>
                <w:b w:val="0"/>
                <w:bCs/>
                <w:color w:val="auto"/>
                <w:sz w:val="18"/>
                <w:szCs w:val="18"/>
                <w:lang w:eastAsia="zh-CN"/>
              </w:rPr>
              <w:t>（质量分数）</w:t>
            </w:r>
            <w:r>
              <w:rPr>
                <w:rFonts w:hint="eastAsia" w:ascii="宋体" w:hAnsi="宋体" w:eastAsia="宋体" w:cs="宋体"/>
                <w:b w:val="0"/>
                <w:bCs/>
                <w:color w:val="auto"/>
                <w:sz w:val="18"/>
                <w:szCs w:val="18"/>
              </w:rPr>
              <w:t>/%</w:t>
            </w:r>
            <w:r>
              <w:rPr>
                <w:rFonts w:hint="eastAsia" w:ascii="宋体" w:hAnsi="宋体" w:eastAsia="宋体" w:cs="宋体"/>
                <w:b w:val="0"/>
                <w:bCs/>
                <w:color w:val="auto"/>
                <w:sz w:val="18"/>
                <w:szCs w:val="18"/>
                <w:lang w:val="en-US" w:eastAsia="zh-CN"/>
              </w:rPr>
              <w:t xml:space="preserve"> ≥</w:t>
            </w:r>
          </w:p>
        </w:tc>
        <w:tc>
          <w:tcPr>
            <w:tcW w:w="6343" w:type="dxa"/>
            <w:vAlign w:val="center"/>
          </w:tcPr>
          <w:p w14:paraId="003C0F95">
            <w:pPr>
              <w:pStyle w:val="179"/>
              <w:bidi w:val="0"/>
              <w:spacing w:line="240" w:lineRule="auto"/>
              <w:jc w:val="center"/>
              <w:rPr>
                <w:rFonts w:hint="default"/>
                <w:color w:val="auto"/>
                <w:lang w:val="en-US" w:eastAsia="zh-CN"/>
              </w:rPr>
            </w:pPr>
            <w:r>
              <w:rPr>
                <w:rFonts w:hint="eastAsia"/>
                <w:color w:val="auto"/>
                <w:lang w:val="en-US" w:eastAsia="zh-CN"/>
              </w:rPr>
              <w:t>32.0</w:t>
            </w:r>
          </w:p>
        </w:tc>
      </w:tr>
      <w:tr w14:paraId="5309A3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211" w:type="dxa"/>
            <w:vAlign w:val="center"/>
          </w:tcPr>
          <w:p w14:paraId="54DE6312">
            <w:pPr>
              <w:pStyle w:val="179"/>
              <w:bidi w:val="0"/>
              <w:spacing w:line="240" w:lineRule="auto"/>
              <w:jc w:val="left"/>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游离氨基酸总量</w:t>
            </w:r>
            <w:r>
              <w:rPr>
                <w:rFonts w:hint="eastAsia" w:ascii="宋体" w:hAnsi="宋体" w:eastAsia="宋体" w:cs="宋体"/>
                <w:b w:val="0"/>
                <w:bCs/>
                <w:color w:val="auto"/>
                <w:sz w:val="18"/>
                <w:szCs w:val="18"/>
                <w:lang w:eastAsia="zh-CN"/>
              </w:rPr>
              <w:t>（质量分数）</w:t>
            </w:r>
            <w:r>
              <w:rPr>
                <w:rFonts w:hint="eastAsia" w:ascii="宋体" w:hAnsi="宋体" w:eastAsia="宋体" w:cs="宋体"/>
                <w:color w:val="auto"/>
                <w:sz w:val="18"/>
                <w:szCs w:val="18"/>
              </w:rPr>
              <w:t>/% ≥</w:t>
            </w:r>
          </w:p>
        </w:tc>
        <w:tc>
          <w:tcPr>
            <w:tcW w:w="6343" w:type="dxa"/>
            <w:vAlign w:val="center"/>
          </w:tcPr>
          <w:p w14:paraId="0E71A1DB">
            <w:pPr>
              <w:pStyle w:val="179"/>
              <w:bidi w:val="0"/>
              <w:spacing w:line="240" w:lineRule="auto"/>
              <w:jc w:val="center"/>
              <w:rPr>
                <w:rFonts w:hint="default"/>
                <w:color w:val="auto"/>
                <w:lang w:val="en-US" w:eastAsia="zh-CN"/>
              </w:rPr>
            </w:pPr>
            <w:r>
              <w:rPr>
                <w:rFonts w:hint="eastAsia"/>
                <w:color w:val="auto"/>
                <w:lang w:val="en-US" w:eastAsia="zh-CN"/>
              </w:rPr>
              <w:t>4.5</w:t>
            </w:r>
          </w:p>
        </w:tc>
      </w:tr>
      <w:tr w14:paraId="5EE26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211" w:type="dxa"/>
            <w:vAlign w:val="center"/>
          </w:tcPr>
          <w:p w14:paraId="36EA35F6">
            <w:pPr>
              <w:pStyle w:val="179"/>
              <w:bidi w:val="0"/>
              <w:spacing w:line="240" w:lineRule="auto"/>
              <w:jc w:val="left"/>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茶氨酸</w:t>
            </w:r>
            <w:r>
              <w:rPr>
                <w:rFonts w:hint="eastAsia" w:ascii="宋体" w:hAnsi="宋体" w:eastAsia="宋体" w:cs="宋体"/>
                <w:b w:val="0"/>
                <w:bCs/>
                <w:color w:val="auto"/>
                <w:sz w:val="18"/>
                <w:szCs w:val="18"/>
                <w:lang w:eastAsia="zh-CN"/>
              </w:rPr>
              <w:t>（质量分数）</w:t>
            </w:r>
            <w:r>
              <w:rPr>
                <w:rFonts w:hint="eastAsia" w:ascii="宋体" w:hAnsi="宋体" w:eastAsia="宋体" w:cs="宋体"/>
                <w:color w:val="auto"/>
                <w:sz w:val="18"/>
                <w:szCs w:val="18"/>
              </w:rPr>
              <w:t>/% ≥</w:t>
            </w:r>
          </w:p>
        </w:tc>
        <w:tc>
          <w:tcPr>
            <w:tcW w:w="6343" w:type="dxa"/>
            <w:vAlign w:val="center"/>
          </w:tcPr>
          <w:p w14:paraId="5874ABB1">
            <w:pPr>
              <w:pStyle w:val="179"/>
              <w:bidi w:val="0"/>
              <w:spacing w:line="240" w:lineRule="auto"/>
              <w:jc w:val="center"/>
              <w:rPr>
                <w:rFonts w:hint="default"/>
                <w:color w:val="auto"/>
                <w:lang w:val="en-US" w:eastAsia="zh-CN"/>
              </w:rPr>
            </w:pPr>
            <w:r>
              <w:rPr>
                <w:rFonts w:hint="eastAsia"/>
                <w:color w:val="auto"/>
                <w:lang w:val="en-US" w:eastAsia="zh-CN"/>
              </w:rPr>
              <w:t>1.5</w:t>
            </w:r>
          </w:p>
        </w:tc>
      </w:tr>
      <w:tr w14:paraId="21CD16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211" w:type="dxa"/>
            <w:vAlign w:val="center"/>
          </w:tcPr>
          <w:p w14:paraId="18ABC4D9">
            <w:pPr>
              <w:pStyle w:val="179"/>
              <w:bidi w:val="0"/>
              <w:spacing w:line="240" w:lineRule="auto"/>
              <w:jc w:val="left"/>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叶绿素/(mg/</w:t>
            </w:r>
            <w:r>
              <w:rPr>
                <w:rFonts w:hint="eastAsia" w:ascii="宋体" w:hAnsi="宋体" w:eastAsia="宋体" w:cs="宋体"/>
                <w:color w:val="auto"/>
                <w:sz w:val="18"/>
                <w:szCs w:val="18"/>
                <w:lang w:val="en-US" w:eastAsia="zh-CN"/>
              </w:rPr>
              <w:t>100</w:t>
            </w:r>
            <w:r>
              <w:rPr>
                <w:rFonts w:hint="eastAsia" w:ascii="宋体" w:hAnsi="宋体" w:eastAsia="宋体" w:cs="宋体"/>
                <w:color w:val="auto"/>
                <w:sz w:val="18"/>
                <w:szCs w:val="18"/>
              </w:rPr>
              <w:t>g)</w:t>
            </w:r>
            <w:r>
              <w:rPr>
                <w:rFonts w:hint="eastAsia" w:ascii="宋体" w:hAnsi="宋体" w:eastAsia="宋体" w:cs="宋体"/>
                <w:b w:val="0"/>
                <w:bCs/>
                <w:color w:val="auto"/>
                <w:sz w:val="18"/>
                <w:szCs w:val="18"/>
                <w:lang w:val="en-US" w:eastAsia="zh-CN"/>
              </w:rPr>
              <w:t xml:space="preserve"> </w:t>
            </w:r>
            <w:r>
              <w:rPr>
                <w:rFonts w:hint="eastAsia" w:ascii="宋体" w:hAnsi="宋体" w:eastAsia="宋体" w:cs="宋体"/>
                <w:color w:val="auto"/>
                <w:sz w:val="18"/>
                <w:szCs w:val="18"/>
              </w:rPr>
              <w:t>≥</w:t>
            </w:r>
          </w:p>
        </w:tc>
        <w:tc>
          <w:tcPr>
            <w:tcW w:w="6343" w:type="dxa"/>
            <w:vAlign w:val="center"/>
          </w:tcPr>
          <w:p w14:paraId="256BA9B8">
            <w:pPr>
              <w:pStyle w:val="179"/>
              <w:bidi w:val="0"/>
              <w:spacing w:line="240" w:lineRule="auto"/>
              <w:jc w:val="center"/>
              <w:rPr>
                <w:rFonts w:hint="default"/>
                <w:color w:val="auto"/>
                <w:lang w:val="en-US" w:eastAsia="zh-CN"/>
              </w:rPr>
            </w:pPr>
            <w:r>
              <w:rPr>
                <w:rFonts w:hint="eastAsia"/>
                <w:color w:val="auto"/>
                <w:lang w:val="en-US" w:eastAsia="zh-CN"/>
              </w:rPr>
              <w:t>550</w:t>
            </w:r>
          </w:p>
        </w:tc>
      </w:tr>
      <w:tr w14:paraId="49E228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211" w:type="dxa"/>
            <w:vAlign w:val="center"/>
          </w:tcPr>
          <w:p w14:paraId="38EFA5CF">
            <w:pPr>
              <w:pStyle w:val="179"/>
              <w:bidi w:val="0"/>
              <w:spacing w:line="240" w:lineRule="auto"/>
              <w:jc w:val="left"/>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茶多酚</w:t>
            </w:r>
            <w:r>
              <w:rPr>
                <w:rFonts w:hint="eastAsia" w:ascii="宋体" w:hAnsi="宋体" w:eastAsia="宋体" w:cs="宋体"/>
                <w:color w:val="auto"/>
                <w:sz w:val="18"/>
                <w:szCs w:val="18"/>
              </w:rPr>
              <w:t>/(g/</w:t>
            </w:r>
            <w:r>
              <w:rPr>
                <w:rFonts w:hint="eastAsia" w:ascii="宋体" w:hAnsi="宋体" w:eastAsia="宋体" w:cs="宋体"/>
                <w:color w:val="auto"/>
                <w:sz w:val="18"/>
                <w:szCs w:val="18"/>
                <w:lang w:val="en-US" w:eastAsia="zh-CN"/>
              </w:rPr>
              <w:t>100</w:t>
            </w:r>
            <w:r>
              <w:rPr>
                <w:rFonts w:hint="eastAsia" w:ascii="宋体" w:hAnsi="宋体" w:eastAsia="宋体" w:cs="宋体"/>
                <w:color w:val="auto"/>
                <w:sz w:val="18"/>
                <w:szCs w:val="18"/>
              </w:rPr>
              <w:t>g)</w:t>
            </w:r>
            <w:r>
              <w:rPr>
                <w:rFonts w:hint="eastAsia" w:ascii="宋体" w:hAnsi="宋体" w:eastAsia="宋体" w:cs="宋体"/>
                <w:b w:val="0"/>
                <w:bCs/>
                <w:color w:val="auto"/>
                <w:sz w:val="18"/>
                <w:szCs w:val="18"/>
                <w:lang w:val="en-US" w:eastAsia="zh-CN"/>
              </w:rPr>
              <w:t xml:space="preserve"> </w:t>
            </w:r>
            <w:r>
              <w:rPr>
                <w:rFonts w:hint="eastAsia" w:ascii="宋体" w:hAnsi="宋体" w:eastAsia="宋体" w:cs="宋体"/>
                <w:color w:val="auto"/>
                <w:sz w:val="18"/>
                <w:szCs w:val="18"/>
              </w:rPr>
              <w:t>≥</w:t>
            </w:r>
          </w:p>
        </w:tc>
        <w:tc>
          <w:tcPr>
            <w:tcW w:w="6343" w:type="dxa"/>
            <w:vAlign w:val="center"/>
          </w:tcPr>
          <w:p w14:paraId="6D5A02FE">
            <w:pPr>
              <w:pStyle w:val="179"/>
              <w:bidi w:val="0"/>
              <w:spacing w:line="240" w:lineRule="auto"/>
              <w:jc w:val="center"/>
              <w:rPr>
                <w:rFonts w:hint="default"/>
                <w:color w:val="auto"/>
                <w:lang w:val="en-US" w:eastAsia="zh-CN"/>
              </w:rPr>
            </w:pPr>
            <w:r>
              <w:rPr>
                <w:rFonts w:hint="eastAsia"/>
                <w:color w:val="auto"/>
                <w:lang w:val="en-US" w:eastAsia="zh-CN"/>
              </w:rPr>
              <w:t>9.5</w:t>
            </w:r>
          </w:p>
        </w:tc>
      </w:tr>
      <w:tr w14:paraId="7E75D8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211" w:type="dxa"/>
            <w:vAlign w:val="center"/>
          </w:tcPr>
          <w:p w14:paraId="7FF22E21">
            <w:pPr>
              <w:pStyle w:val="179"/>
              <w:bidi w:val="0"/>
              <w:spacing w:line="240" w:lineRule="auto"/>
              <w:jc w:val="left"/>
              <w:rPr>
                <w:rFonts w:hint="default"/>
                <w:color w:val="auto"/>
                <w:lang w:val="en-US" w:eastAsia="zh-CN"/>
              </w:rPr>
            </w:pPr>
            <w:r>
              <w:rPr>
                <w:rFonts w:hint="eastAsia"/>
                <w:color w:val="auto"/>
                <w:lang w:val="en-US" w:eastAsia="zh-CN"/>
              </w:rPr>
              <w:t>儿茶素</w:t>
            </w:r>
            <w:r>
              <w:rPr>
                <w:rFonts w:hint="eastAsia" w:ascii="宋体" w:hAnsi="宋体" w:eastAsia="宋体" w:cs="宋体"/>
                <w:color w:val="auto"/>
                <w:sz w:val="18"/>
                <w:szCs w:val="18"/>
              </w:rPr>
              <w:t>/(g/</w:t>
            </w:r>
            <w:r>
              <w:rPr>
                <w:rFonts w:hint="eastAsia" w:ascii="宋体" w:hAnsi="宋体" w:eastAsia="宋体" w:cs="宋体"/>
                <w:color w:val="auto"/>
                <w:sz w:val="18"/>
                <w:szCs w:val="18"/>
                <w:lang w:val="en-US" w:eastAsia="zh-CN"/>
              </w:rPr>
              <w:t>100</w:t>
            </w:r>
            <w:r>
              <w:rPr>
                <w:rFonts w:hint="eastAsia" w:ascii="宋体" w:hAnsi="宋体" w:eastAsia="宋体" w:cs="宋体"/>
                <w:color w:val="auto"/>
                <w:sz w:val="18"/>
                <w:szCs w:val="18"/>
              </w:rPr>
              <w:t>g)</w:t>
            </w:r>
            <w:r>
              <w:rPr>
                <w:rFonts w:hint="eastAsia" w:ascii="宋体" w:hAnsi="宋体" w:eastAsia="宋体" w:cs="宋体"/>
                <w:b w:val="0"/>
                <w:bCs/>
                <w:color w:val="auto"/>
                <w:sz w:val="18"/>
                <w:szCs w:val="18"/>
                <w:lang w:val="en-US" w:eastAsia="zh-CN"/>
              </w:rPr>
              <w:t xml:space="preserve"> </w:t>
            </w:r>
            <w:r>
              <w:rPr>
                <w:rFonts w:hint="eastAsia" w:ascii="宋体" w:hAnsi="宋体" w:eastAsia="宋体" w:cs="宋体"/>
                <w:color w:val="auto"/>
                <w:sz w:val="18"/>
                <w:szCs w:val="18"/>
              </w:rPr>
              <w:t>≥</w:t>
            </w:r>
          </w:p>
        </w:tc>
        <w:tc>
          <w:tcPr>
            <w:tcW w:w="6343" w:type="dxa"/>
            <w:vAlign w:val="center"/>
          </w:tcPr>
          <w:p w14:paraId="70320817">
            <w:pPr>
              <w:pStyle w:val="179"/>
              <w:bidi w:val="0"/>
              <w:spacing w:line="240" w:lineRule="auto"/>
              <w:jc w:val="center"/>
              <w:rPr>
                <w:rFonts w:hint="default"/>
                <w:color w:val="auto"/>
                <w:lang w:val="en-US" w:eastAsia="zh-CN"/>
              </w:rPr>
            </w:pPr>
            <w:r>
              <w:rPr>
                <w:rFonts w:hint="eastAsia"/>
                <w:color w:val="auto"/>
                <w:lang w:val="en-US" w:eastAsia="zh-CN"/>
              </w:rPr>
              <w:t>7.5</w:t>
            </w:r>
          </w:p>
        </w:tc>
      </w:tr>
    </w:tbl>
    <w:p w14:paraId="5B52175E">
      <w:pPr>
        <w:pStyle w:val="56"/>
        <w:bidi w:val="0"/>
        <w:rPr>
          <w:rFonts w:hint="default"/>
          <w:color w:val="auto"/>
          <w:lang w:val="en-US" w:eastAsia="zh-CN"/>
        </w:rPr>
      </w:pPr>
    </w:p>
    <w:p w14:paraId="4F554AC9">
      <w:pPr>
        <w:pStyle w:val="105"/>
        <w:bidi w:val="0"/>
        <w:rPr>
          <w:rFonts w:hint="default"/>
          <w:color w:val="auto"/>
          <w:lang w:val="en-US" w:eastAsia="zh-CN"/>
        </w:rPr>
      </w:pPr>
      <w:bookmarkStart w:id="61" w:name="_Toc2640"/>
      <w:bookmarkStart w:id="62" w:name="_Toc12207"/>
      <w:r>
        <w:rPr>
          <w:rFonts w:hint="eastAsia"/>
          <w:color w:val="auto"/>
          <w:lang w:val="en-US" w:eastAsia="zh-CN"/>
        </w:rPr>
        <w:t>安全指标</w:t>
      </w:r>
      <w:bookmarkEnd w:id="61"/>
      <w:bookmarkEnd w:id="62"/>
    </w:p>
    <w:p w14:paraId="1762A180">
      <w:pPr>
        <w:pStyle w:val="166"/>
        <w:bidi w:val="0"/>
        <w:rPr>
          <w:rFonts w:hint="default"/>
          <w:color w:val="auto"/>
          <w:lang w:val="en-US" w:eastAsia="zh-CN"/>
        </w:rPr>
      </w:pPr>
      <w:r>
        <w:rPr>
          <w:color w:val="auto"/>
        </w:rPr>
        <w:t>真菌毒素限量应符合 GB 2761 的规定。</w:t>
      </w:r>
    </w:p>
    <w:p w14:paraId="1E70D4A1">
      <w:pPr>
        <w:pStyle w:val="166"/>
        <w:bidi w:val="0"/>
        <w:rPr>
          <w:rFonts w:hint="default"/>
          <w:color w:val="auto"/>
          <w:lang w:val="en-US" w:eastAsia="zh-CN"/>
        </w:rPr>
      </w:pPr>
      <w:r>
        <w:rPr>
          <w:color w:val="auto"/>
        </w:rPr>
        <w:t>污染物限量应符合 GB 2762 的规定。</w:t>
      </w:r>
    </w:p>
    <w:p w14:paraId="6B80E034">
      <w:pPr>
        <w:pStyle w:val="166"/>
        <w:bidi w:val="0"/>
        <w:rPr>
          <w:rFonts w:hint="default"/>
          <w:color w:val="auto"/>
          <w:lang w:val="en-US" w:eastAsia="zh-CN"/>
        </w:rPr>
      </w:pPr>
      <w:r>
        <w:rPr>
          <w:color w:val="auto"/>
        </w:rPr>
        <w:t>农药最大残留限量应符合 GB 2763 的规定。</w:t>
      </w:r>
    </w:p>
    <w:p w14:paraId="463F78A2">
      <w:pPr>
        <w:pStyle w:val="166"/>
        <w:bidi w:val="0"/>
        <w:rPr>
          <w:rFonts w:hint="default"/>
          <w:color w:val="auto"/>
          <w:lang w:val="en-US" w:eastAsia="zh-CN"/>
        </w:rPr>
      </w:pPr>
      <w:r>
        <w:rPr>
          <w:rFonts w:hint="eastAsia"/>
          <w:color w:val="auto"/>
          <w:lang w:val="en-US" w:eastAsia="zh-CN"/>
        </w:rPr>
        <w:t>微生物限量应符合表3的规定。</w:t>
      </w:r>
    </w:p>
    <w:p w14:paraId="03CF9ED5">
      <w:pPr>
        <w:pStyle w:val="166"/>
        <w:numPr>
          <w:ilvl w:val="3"/>
          <w:numId w:val="0"/>
        </w:numPr>
        <w:bidi w:val="0"/>
        <w:ind w:leftChars="0"/>
        <w:rPr>
          <w:rFonts w:hint="default"/>
          <w:lang w:val="en-US" w:eastAsia="zh-CN"/>
        </w:rPr>
      </w:pPr>
    </w:p>
    <w:p w14:paraId="5D569724">
      <w:pPr>
        <w:pStyle w:val="166"/>
        <w:numPr>
          <w:ilvl w:val="3"/>
          <w:numId w:val="0"/>
        </w:numPr>
        <w:bidi w:val="0"/>
        <w:ind w:leftChars="0"/>
        <w:rPr>
          <w:rFonts w:hint="default"/>
          <w:lang w:val="en-US" w:eastAsia="zh-CN"/>
        </w:rPr>
      </w:pPr>
    </w:p>
    <w:p w14:paraId="095153A6">
      <w:pPr>
        <w:pStyle w:val="113"/>
        <w:bidi w:val="0"/>
        <w:rPr>
          <w:rFonts w:hint="default"/>
          <w:lang w:val="en-US" w:eastAsia="zh-CN"/>
        </w:rPr>
      </w:pPr>
      <w:r>
        <w:rPr>
          <w:rFonts w:hint="eastAsia"/>
          <w:lang w:val="en-US" w:eastAsia="zh-CN"/>
        </w:rPr>
        <w:t>微生物限量</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3184"/>
        <w:gridCol w:w="6370"/>
      </w:tblGrid>
      <w:tr w14:paraId="749A27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3184" w:type="dxa"/>
            <w:tcBorders>
              <w:bottom w:val="single" w:color="auto" w:sz="8" w:space="0"/>
            </w:tcBorders>
            <w:vAlign w:val="center"/>
          </w:tcPr>
          <w:p w14:paraId="7F1BD554">
            <w:pPr>
              <w:pStyle w:val="179"/>
              <w:bidi w:val="0"/>
              <w:spacing w:line="240" w:lineRule="auto"/>
              <w:jc w:val="center"/>
              <w:rPr>
                <w:rFonts w:hint="default"/>
                <w:lang w:val="en-US" w:eastAsia="zh-CN"/>
              </w:rPr>
            </w:pPr>
            <w:r>
              <w:rPr>
                <w:rFonts w:hint="eastAsia"/>
                <w:lang w:val="en-US" w:eastAsia="zh-CN"/>
              </w:rPr>
              <w:t>项目</w:t>
            </w:r>
          </w:p>
        </w:tc>
        <w:tc>
          <w:tcPr>
            <w:tcW w:w="6370" w:type="dxa"/>
            <w:tcBorders>
              <w:bottom w:val="single" w:color="auto" w:sz="8" w:space="0"/>
            </w:tcBorders>
            <w:vAlign w:val="center"/>
          </w:tcPr>
          <w:p w14:paraId="41F8299B">
            <w:pPr>
              <w:pStyle w:val="179"/>
              <w:bidi w:val="0"/>
              <w:spacing w:line="240" w:lineRule="auto"/>
              <w:jc w:val="center"/>
              <w:rPr>
                <w:rFonts w:hint="default"/>
                <w:lang w:val="en-US" w:eastAsia="zh-CN"/>
              </w:rPr>
            </w:pPr>
            <w:r>
              <w:rPr>
                <w:rFonts w:hint="eastAsia"/>
                <w:lang w:val="en-US" w:eastAsia="zh-CN"/>
              </w:rPr>
              <w:t>限量</w:t>
            </w:r>
          </w:p>
        </w:tc>
      </w:tr>
      <w:tr w14:paraId="031C2E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184" w:type="dxa"/>
            <w:tcBorders>
              <w:top w:val="single" w:color="auto" w:sz="8" w:space="0"/>
            </w:tcBorders>
            <w:vAlign w:val="center"/>
          </w:tcPr>
          <w:p w14:paraId="0577314C">
            <w:pPr>
              <w:pStyle w:val="179"/>
              <w:bidi w:val="0"/>
              <w:spacing w:line="240" w:lineRule="auto"/>
              <w:jc w:val="center"/>
              <w:rPr>
                <w:rFonts w:hint="default"/>
                <w:lang w:val="en-US" w:eastAsia="zh-CN"/>
              </w:rPr>
            </w:pPr>
            <w:r>
              <w:rPr>
                <w:rFonts w:hint="eastAsia"/>
                <w:lang w:val="en-US" w:eastAsia="zh-CN"/>
              </w:rPr>
              <w:t>菌落总数，CFU/g</w:t>
            </w:r>
          </w:p>
        </w:tc>
        <w:tc>
          <w:tcPr>
            <w:tcW w:w="6370" w:type="dxa"/>
            <w:tcBorders>
              <w:top w:val="single" w:color="auto" w:sz="8" w:space="0"/>
            </w:tcBorders>
            <w:vAlign w:val="center"/>
          </w:tcPr>
          <w:p w14:paraId="0DAE53E3">
            <w:pPr>
              <w:pStyle w:val="179"/>
              <w:bidi w:val="0"/>
              <w:spacing w:line="240" w:lineRule="auto"/>
              <w:jc w:val="center"/>
              <w:rPr>
                <w:rFonts w:hint="default"/>
                <w:lang w:val="en-US" w:eastAsia="zh-CN"/>
              </w:rPr>
            </w:pPr>
            <w:r>
              <w:rPr>
                <w:rFonts w:hint="default" w:ascii="Times New Roman" w:hAnsi="Times New Roman" w:eastAsia="宋体" w:cs="Times New Roman"/>
                <w:sz w:val="18"/>
                <w:lang w:val="en-US" w:eastAsia="zh-CN"/>
              </w:rPr>
              <w:t>≤1.0×10</w:t>
            </w:r>
            <w:r>
              <w:rPr>
                <w:rFonts w:hint="default" w:ascii="Times New Roman" w:hAnsi="Times New Roman" w:eastAsia="宋体" w:cs="Times New Roman"/>
                <w:sz w:val="18"/>
                <w:vertAlign w:val="superscript"/>
                <w:lang w:val="en-US" w:eastAsia="zh-CN"/>
              </w:rPr>
              <w:t>4</w:t>
            </w:r>
          </w:p>
        </w:tc>
      </w:tr>
      <w:tr w14:paraId="1FB593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184" w:type="dxa"/>
            <w:vAlign w:val="center"/>
          </w:tcPr>
          <w:p w14:paraId="11A630B6">
            <w:pPr>
              <w:pStyle w:val="179"/>
              <w:bidi w:val="0"/>
              <w:spacing w:line="240" w:lineRule="auto"/>
              <w:jc w:val="center"/>
              <w:rPr>
                <w:rFonts w:hint="default"/>
                <w:lang w:val="en-US" w:eastAsia="zh-CN"/>
              </w:rPr>
            </w:pPr>
            <w:r>
              <w:rPr>
                <w:rFonts w:hint="eastAsia"/>
                <w:lang w:val="en-US" w:eastAsia="zh-CN"/>
              </w:rPr>
              <w:t>大肠菌群，CFU/g</w:t>
            </w:r>
          </w:p>
        </w:tc>
        <w:tc>
          <w:tcPr>
            <w:tcW w:w="6370" w:type="dxa"/>
            <w:vAlign w:val="center"/>
          </w:tcPr>
          <w:p w14:paraId="41808225">
            <w:pPr>
              <w:pStyle w:val="179"/>
              <w:bidi w:val="0"/>
              <w:spacing w:line="240" w:lineRule="auto"/>
              <w:jc w:val="center"/>
              <w:rPr>
                <w:rFonts w:hint="default"/>
                <w:lang w:val="en-US" w:eastAsia="zh-CN"/>
              </w:rPr>
            </w:pPr>
            <w:r>
              <w:rPr>
                <w:rFonts w:hint="default" w:ascii="Times New Roman" w:hAnsi="Times New Roman" w:eastAsia="宋体" w:cs="Times New Roman"/>
                <w:sz w:val="18"/>
                <w:lang w:val="en-US" w:eastAsia="zh-CN"/>
              </w:rPr>
              <w:t>≤3.0 × 10</w:t>
            </w:r>
            <w:r>
              <w:rPr>
                <w:rFonts w:hint="default" w:ascii="Times New Roman" w:hAnsi="Times New Roman" w:eastAsia="宋体" w:cs="Times New Roman"/>
                <w:sz w:val="18"/>
                <w:vertAlign w:val="superscript"/>
                <w:lang w:val="en-US" w:eastAsia="zh-CN"/>
              </w:rPr>
              <w:t>3</w:t>
            </w:r>
            <w:r>
              <w:rPr>
                <w:rFonts w:hint="eastAsia" w:ascii="Times New Roman" w:hAnsi="Times New Roman" w:cs="Times New Roman"/>
                <w:sz w:val="18"/>
                <w:vertAlign w:val="superscript"/>
                <w:lang w:val="en-US" w:eastAsia="zh-CN"/>
              </w:rPr>
              <w:t xml:space="preserve"> </w:t>
            </w:r>
          </w:p>
        </w:tc>
      </w:tr>
      <w:tr w14:paraId="20FC1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184" w:type="dxa"/>
            <w:vAlign w:val="center"/>
          </w:tcPr>
          <w:p w14:paraId="2DCD5ADE">
            <w:pPr>
              <w:pStyle w:val="179"/>
              <w:bidi w:val="0"/>
              <w:spacing w:line="240" w:lineRule="auto"/>
              <w:jc w:val="center"/>
              <w:rPr>
                <w:rFonts w:hint="default"/>
                <w:lang w:val="en-US" w:eastAsia="zh-CN"/>
              </w:rPr>
            </w:pPr>
            <w:r>
              <w:rPr>
                <w:rFonts w:hint="default" w:ascii="Times New Roman" w:hAnsi="Times New Roman" w:eastAsia="宋体" w:cs="Times New Roman"/>
                <w:sz w:val="18"/>
              </w:rPr>
              <w:t>致病菌（沙门氏菌</w:t>
            </w:r>
            <w:r>
              <w:rPr>
                <w:rFonts w:hint="eastAsia" w:cs="Times New Roman"/>
                <w:sz w:val="18"/>
                <w:lang w:eastAsia="zh-CN"/>
              </w:rPr>
              <w:t>、</w:t>
            </w:r>
            <w:r>
              <w:rPr>
                <w:rFonts w:hint="eastAsia" w:cs="Times New Roman"/>
                <w:sz w:val="18"/>
                <w:lang w:val="en-US" w:eastAsia="zh-CN"/>
              </w:rPr>
              <w:t>金黄色葡萄球菌</w:t>
            </w:r>
            <w:r>
              <w:rPr>
                <w:rFonts w:hint="default" w:ascii="Times New Roman" w:hAnsi="Times New Roman" w:eastAsia="宋体" w:cs="Times New Roman"/>
                <w:sz w:val="18"/>
              </w:rPr>
              <w:t>）</w:t>
            </w:r>
          </w:p>
        </w:tc>
        <w:tc>
          <w:tcPr>
            <w:tcW w:w="6370" w:type="dxa"/>
            <w:vAlign w:val="center"/>
          </w:tcPr>
          <w:p w14:paraId="39BD1597">
            <w:pPr>
              <w:pStyle w:val="179"/>
              <w:bidi w:val="0"/>
              <w:spacing w:line="240" w:lineRule="auto"/>
              <w:jc w:val="center"/>
              <w:rPr>
                <w:rFonts w:hint="default"/>
                <w:lang w:val="en-US" w:eastAsia="zh-CN"/>
              </w:rPr>
            </w:pPr>
            <w:r>
              <w:rPr>
                <w:rFonts w:hint="eastAsia"/>
                <w:lang w:val="en-US" w:eastAsia="zh-CN"/>
              </w:rPr>
              <w:t>不得检出</w:t>
            </w:r>
          </w:p>
        </w:tc>
      </w:tr>
      <w:tr w14:paraId="508F20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3184" w:type="dxa"/>
            <w:vAlign w:val="center"/>
          </w:tcPr>
          <w:p w14:paraId="7B096B09">
            <w:pPr>
              <w:pStyle w:val="179"/>
              <w:bidi w:val="0"/>
              <w:spacing w:line="240" w:lineRule="auto"/>
              <w:jc w:val="center"/>
              <w:rPr>
                <w:rFonts w:hint="default"/>
                <w:lang w:val="en-US" w:eastAsia="zh-CN"/>
              </w:rPr>
            </w:pPr>
            <w:r>
              <w:rPr>
                <w:rFonts w:hint="eastAsia"/>
                <w:lang w:val="en-US" w:eastAsia="zh-CN"/>
              </w:rPr>
              <w:t>霉菌</w:t>
            </w:r>
          </w:p>
        </w:tc>
        <w:tc>
          <w:tcPr>
            <w:tcW w:w="6370" w:type="dxa"/>
            <w:vAlign w:val="center"/>
          </w:tcPr>
          <w:p w14:paraId="1F378177">
            <w:pPr>
              <w:pStyle w:val="179"/>
              <w:bidi w:val="0"/>
              <w:spacing w:line="240" w:lineRule="auto"/>
              <w:jc w:val="center"/>
              <w:rPr>
                <w:rFonts w:hint="default"/>
                <w:lang w:val="en-US" w:eastAsia="zh-CN"/>
              </w:rPr>
            </w:pPr>
            <w:r>
              <w:rPr>
                <w:rFonts w:hint="eastAsia"/>
                <w:lang w:val="en-US" w:eastAsia="zh-CN"/>
              </w:rPr>
              <w:t>不得检出</w:t>
            </w:r>
          </w:p>
        </w:tc>
      </w:tr>
    </w:tbl>
    <w:p w14:paraId="64A5DDAB">
      <w:pPr>
        <w:pStyle w:val="56"/>
        <w:bidi w:val="0"/>
        <w:rPr>
          <w:rFonts w:hint="default"/>
          <w:lang w:val="en-US" w:eastAsia="zh-CN"/>
        </w:rPr>
      </w:pPr>
    </w:p>
    <w:p w14:paraId="77B6D03D">
      <w:pPr>
        <w:pStyle w:val="105"/>
        <w:bidi w:val="0"/>
        <w:rPr>
          <w:rFonts w:hint="default"/>
          <w:lang w:val="en-US" w:eastAsia="zh-CN"/>
        </w:rPr>
      </w:pPr>
      <w:bookmarkStart w:id="63" w:name="_Toc2628"/>
      <w:bookmarkStart w:id="64" w:name="_Toc32509"/>
      <w:r>
        <w:rPr>
          <w:rFonts w:hint="eastAsia"/>
          <w:lang w:val="en-US" w:eastAsia="zh-CN"/>
        </w:rPr>
        <w:t>净含量</w:t>
      </w:r>
      <w:bookmarkEnd w:id="63"/>
      <w:bookmarkEnd w:id="64"/>
    </w:p>
    <w:p w14:paraId="280A4E91">
      <w:pPr>
        <w:pStyle w:val="56"/>
        <w:bidi w:val="0"/>
        <w:rPr>
          <w:rFonts w:hint="default"/>
          <w:lang w:eastAsia="zh-CN"/>
        </w:rPr>
      </w:pPr>
      <w:r>
        <w:rPr>
          <w:rFonts w:hint="default"/>
          <w:lang w:eastAsia="zh-CN"/>
        </w:rPr>
        <w:t>应符合</w:t>
      </w:r>
      <w:r>
        <w:rPr>
          <w:rFonts w:hint="eastAsia"/>
          <w:lang w:eastAsia="zh-CN"/>
        </w:rPr>
        <w:t>《</w:t>
      </w:r>
      <w:r>
        <w:rPr>
          <w:rFonts w:hint="eastAsia"/>
          <w:lang w:val="en-US" w:eastAsia="zh-CN"/>
        </w:rPr>
        <w:t>定量包装商品计量监督管理办法</w:t>
      </w:r>
      <w:r>
        <w:rPr>
          <w:rFonts w:hint="eastAsia"/>
          <w:lang w:eastAsia="zh-CN"/>
        </w:rPr>
        <w:t>》</w:t>
      </w:r>
      <w:r>
        <w:rPr>
          <w:rFonts w:hint="eastAsia"/>
          <w:lang w:val="en-US" w:eastAsia="zh-CN"/>
        </w:rPr>
        <w:t>的</w:t>
      </w:r>
      <w:r>
        <w:rPr>
          <w:rFonts w:hint="default"/>
          <w:lang w:eastAsia="zh-CN"/>
        </w:rPr>
        <w:t>规定。</w:t>
      </w:r>
    </w:p>
    <w:p w14:paraId="1C962495">
      <w:pPr>
        <w:pStyle w:val="104"/>
        <w:bidi w:val="0"/>
        <w:rPr>
          <w:rFonts w:hint="default"/>
          <w:lang w:val="en-US" w:eastAsia="zh-CN"/>
        </w:rPr>
      </w:pPr>
      <w:bookmarkStart w:id="65" w:name="_Toc26240"/>
      <w:bookmarkStart w:id="66" w:name="_Toc17455"/>
      <w:r>
        <w:rPr>
          <w:rFonts w:hint="eastAsia"/>
          <w:lang w:val="en-US" w:eastAsia="zh-CN"/>
        </w:rPr>
        <w:t>检验方法</w:t>
      </w:r>
      <w:bookmarkEnd w:id="65"/>
      <w:bookmarkEnd w:id="66"/>
    </w:p>
    <w:p w14:paraId="3CDA82A6">
      <w:pPr>
        <w:pStyle w:val="105"/>
        <w:bidi w:val="0"/>
        <w:rPr>
          <w:rFonts w:hint="default"/>
          <w:lang w:val="en-US" w:eastAsia="zh-CN"/>
        </w:rPr>
      </w:pPr>
      <w:bookmarkStart w:id="67" w:name="_Toc8242"/>
      <w:bookmarkStart w:id="68" w:name="_Toc5235"/>
      <w:r>
        <w:rPr>
          <w:rFonts w:hint="eastAsia"/>
          <w:lang w:val="en-US" w:eastAsia="zh-CN"/>
        </w:rPr>
        <w:t>感官要求</w:t>
      </w:r>
      <w:bookmarkEnd w:id="67"/>
      <w:bookmarkEnd w:id="68"/>
    </w:p>
    <w:p w14:paraId="2B162EBD">
      <w:pPr>
        <w:pStyle w:val="56"/>
        <w:rPr>
          <w:rFonts w:hint="eastAsia"/>
          <w:lang w:val="en-US" w:eastAsia="zh-CN"/>
        </w:rPr>
      </w:pPr>
      <w:r>
        <w:rPr>
          <w:rFonts w:hint="eastAsia"/>
          <w:lang w:val="en-US" w:eastAsia="zh-CN"/>
        </w:rPr>
        <w:t>按</w:t>
      </w:r>
      <w:r>
        <w:rPr>
          <w:rFonts w:hint="eastAsia"/>
        </w:rPr>
        <w:t>GB/T 34778</w:t>
      </w:r>
      <w:r>
        <w:rPr>
          <w:rFonts w:hint="eastAsia"/>
          <w:lang w:val="en-US" w:eastAsia="zh-CN"/>
        </w:rPr>
        <w:t>—2017附录A规定的方法执行。</w:t>
      </w:r>
    </w:p>
    <w:p w14:paraId="217DD6DC">
      <w:pPr>
        <w:pStyle w:val="105"/>
        <w:bidi w:val="0"/>
        <w:rPr>
          <w:rFonts w:hint="default"/>
          <w:lang w:val="en-US" w:eastAsia="zh-CN"/>
        </w:rPr>
      </w:pPr>
      <w:bookmarkStart w:id="69" w:name="_Toc8155"/>
      <w:bookmarkStart w:id="70" w:name="_Toc22664"/>
      <w:r>
        <w:rPr>
          <w:rFonts w:hint="eastAsia"/>
          <w:lang w:val="en-US" w:eastAsia="zh-CN"/>
        </w:rPr>
        <w:t>理化指标</w:t>
      </w:r>
      <w:bookmarkEnd w:id="69"/>
      <w:bookmarkEnd w:id="70"/>
    </w:p>
    <w:p w14:paraId="134B284E">
      <w:pPr>
        <w:pStyle w:val="166"/>
        <w:bidi w:val="0"/>
        <w:rPr>
          <w:rFonts w:hint="default"/>
          <w:lang w:val="en-US" w:eastAsia="zh-CN"/>
        </w:rPr>
      </w:pPr>
      <w:r>
        <w:rPr>
          <w:rFonts w:hint="eastAsia"/>
          <w:lang w:val="en-US" w:eastAsia="zh-CN"/>
        </w:rPr>
        <w:t>粒度按</w:t>
      </w:r>
      <w:r>
        <w:rPr>
          <w:rFonts w:hint="eastAsia"/>
        </w:rPr>
        <w:t>GB/T 34778</w:t>
      </w:r>
      <w:r>
        <w:rPr>
          <w:rFonts w:hint="eastAsia"/>
          <w:lang w:val="en-US" w:eastAsia="zh-CN"/>
        </w:rPr>
        <w:t>-2017附录B规定的方法执行。</w:t>
      </w:r>
    </w:p>
    <w:p w14:paraId="5846D990">
      <w:pPr>
        <w:pStyle w:val="166"/>
        <w:bidi w:val="0"/>
        <w:rPr>
          <w:rFonts w:hint="default"/>
          <w:lang w:val="en-US" w:eastAsia="zh-CN"/>
        </w:rPr>
      </w:pPr>
      <w:r>
        <w:t>水分按 GB 5009.3 的规定执行。</w:t>
      </w:r>
    </w:p>
    <w:p w14:paraId="35AC77E3">
      <w:pPr>
        <w:pStyle w:val="166"/>
        <w:bidi w:val="0"/>
        <w:rPr>
          <w:rFonts w:hint="default"/>
          <w:lang w:val="en-US" w:eastAsia="zh-CN"/>
        </w:rPr>
      </w:pPr>
      <w:r>
        <w:t>总灰分按 GB 5009.4 的规定执行。</w:t>
      </w:r>
    </w:p>
    <w:p w14:paraId="2D140640">
      <w:pPr>
        <w:pStyle w:val="166"/>
        <w:bidi w:val="0"/>
        <w:rPr>
          <w:rFonts w:hint="default"/>
          <w:lang w:val="en-US" w:eastAsia="zh-CN"/>
        </w:rPr>
      </w:pPr>
      <w:r>
        <w:t>水浸出物按 GB/T 8305 的规定执行。</w:t>
      </w:r>
    </w:p>
    <w:p w14:paraId="229DF5E7">
      <w:pPr>
        <w:pStyle w:val="166"/>
        <w:bidi w:val="0"/>
        <w:rPr>
          <w:rFonts w:hint="default"/>
          <w:lang w:val="en-US" w:eastAsia="zh-CN"/>
        </w:rPr>
      </w:pPr>
      <w:r>
        <w:t>游离氨基酸总量按 GB/T 8314 的规定执行。</w:t>
      </w:r>
    </w:p>
    <w:p w14:paraId="731142B1">
      <w:pPr>
        <w:pStyle w:val="166"/>
        <w:bidi w:val="0"/>
        <w:rPr>
          <w:rFonts w:hint="default"/>
          <w:lang w:val="en-US" w:eastAsia="zh-CN"/>
        </w:rPr>
      </w:pPr>
      <w:r>
        <w:rPr>
          <w:rFonts w:hint="eastAsia"/>
          <w:lang w:val="en-US" w:eastAsia="zh-CN"/>
        </w:rPr>
        <w:t>茶氨酸按 GB/T 23193 的规定执行。</w:t>
      </w:r>
    </w:p>
    <w:p w14:paraId="769E561F">
      <w:pPr>
        <w:pStyle w:val="166"/>
        <w:bidi w:val="0"/>
        <w:rPr>
          <w:rFonts w:hint="default"/>
          <w:lang w:val="en-US" w:eastAsia="zh-CN"/>
        </w:rPr>
      </w:pPr>
      <w:r>
        <w:t>叶绿素按 NY/T 4357 的规定执行。</w:t>
      </w:r>
    </w:p>
    <w:p w14:paraId="46225682">
      <w:pPr>
        <w:pStyle w:val="166"/>
        <w:bidi w:val="0"/>
        <w:rPr>
          <w:rFonts w:hint="default"/>
          <w:lang w:val="en-US" w:eastAsia="zh-CN"/>
        </w:rPr>
      </w:pPr>
      <w:r>
        <w:rPr>
          <w:rFonts w:hint="eastAsia"/>
          <w:lang w:val="en-US" w:eastAsia="zh-CN"/>
        </w:rPr>
        <w:t>茶多酚按</w:t>
      </w:r>
      <w:r>
        <w:t>GB/T</w:t>
      </w:r>
      <w:r>
        <w:rPr>
          <w:rFonts w:hint="eastAsia"/>
          <w:lang w:val="en-US" w:eastAsia="zh-CN"/>
        </w:rPr>
        <w:t xml:space="preserve"> 8313 的规定执行。</w:t>
      </w:r>
    </w:p>
    <w:p w14:paraId="0E50A6BD">
      <w:pPr>
        <w:pStyle w:val="166"/>
        <w:bidi w:val="0"/>
        <w:rPr>
          <w:rFonts w:hint="default"/>
          <w:lang w:val="en-US" w:eastAsia="zh-CN"/>
        </w:rPr>
      </w:pPr>
      <w:r>
        <w:rPr>
          <w:rFonts w:hint="eastAsia"/>
          <w:lang w:val="en-US" w:eastAsia="zh-CN"/>
        </w:rPr>
        <w:t>儿茶素按</w:t>
      </w:r>
      <w:r>
        <w:t>GB/T</w:t>
      </w:r>
      <w:r>
        <w:rPr>
          <w:rFonts w:hint="eastAsia"/>
          <w:lang w:val="en-US" w:eastAsia="zh-CN"/>
        </w:rPr>
        <w:t xml:space="preserve"> 8313 的规定执行。</w:t>
      </w:r>
    </w:p>
    <w:p w14:paraId="21EF0B1B">
      <w:pPr>
        <w:pStyle w:val="105"/>
        <w:bidi w:val="0"/>
        <w:rPr>
          <w:rFonts w:hint="default"/>
          <w:lang w:val="en-US" w:eastAsia="zh-CN"/>
        </w:rPr>
      </w:pPr>
      <w:bookmarkStart w:id="71" w:name="_Toc4817"/>
      <w:bookmarkStart w:id="72" w:name="_Toc28759"/>
      <w:r>
        <w:rPr>
          <w:rFonts w:hint="eastAsia"/>
          <w:lang w:val="en-US" w:eastAsia="zh-CN"/>
        </w:rPr>
        <w:t>安全指标</w:t>
      </w:r>
      <w:bookmarkEnd w:id="71"/>
      <w:bookmarkEnd w:id="72"/>
    </w:p>
    <w:p w14:paraId="5086A910">
      <w:pPr>
        <w:pStyle w:val="166"/>
        <w:bidi w:val="0"/>
        <w:rPr>
          <w:rFonts w:hint="default"/>
          <w:lang w:val="en-US" w:eastAsia="zh-CN"/>
        </w:rPr>
      </w:pPr>
      <w:r>
        <w:t>真菌毒素限量</w:t>
      </w:r>
      <w:r>
        <w:rPr>
          <w:rFonts w:hint="eastAsia"/>
          <w:lang w:val="en-US" w:eastAsia="zh-CN"/>
        </w:rPr>
        <w:t>按</w:t>
      </w:r>
      <w:r>
        <w:rPr>
          <w:rFonts w:hint="eastAsia"/>
        </w:rPr>
        <w:t>GB 276</w:t>
      </w:r>
      <w:r>
        <w:rPr>
          <w:rFonts w:hint="eastAsia"/>
          <w:lang w:val="en-US" w:eastAsia="zh-CN"/>
        </w:rPr>
        <w:t>1的规定执行。</w:t>
      </w:r>
    </w:p>
    <w:p w14:paraId="7BDD6E71">
      <w:pPr>
        <w:pStyle w:val="166"/>
        <w:bidi w:val="0"/>
        <w:rPr>
          <w:rFonts w:hint="default"/>
          <w:lang w:val="en-US" w:eastAsia="zh-CN"/>
        </w:rPr>
      </w:pPr>
      <w:r>
        <w:rPr>
          <w:rFonts w:hint="eastAsia"/>
          <w:lang w:val="en-US" w:eastAsia="zh-CN"/>
        </w:rPr>
        <w:t>污染物限量按</w:t>
      </w:r>
      <w:r>
        <w:rPr>
          <w:rFonts w:hint="eastAsia"/>
        </w:rPr>
        <w:t>GB 2762</w:t>
      </w:r>
      <w:r>
        <w:rPr>
          <w:rFonts w:hint="eastAsia"/>
          <w:lang w:val="en-US" w:eastAsia="zh-CN"/>
        </w:rPr>
        <w:t>的规定执行。</w:t>
      </w:r>
    </w:p>
    <w:p w14:paraId="6E70B085">
      <w:pPr>
        <w:pStyle w:val="166"/>
        <w:bidi w:val="0"/>
        <w:rPr>
          <w:rFonts w:hint="default"/>
          <w:lang w:val="en-US" w:eastAsia="zh-CN"/>
        </w:rPr>
      </w:pPr>
      <w:r>
        <w:rPr>
          <w:rFonts w:hint="eastAsia"/>
          <w:lang w:val="en-US" w:eastAsia="zh-CN"/>
        </w:rPr>
        <w:t>农药最大残留量按</w:t>
      </w:r>
      <w:r>
        <w:rPr>
          <w:rFonts w:hint="eastAsia"/>
        </w:rPr>
        <w:t>GB 276</w:t>
      </w:r>
      <w:r>
        <w:rPr>
          <w:rFonts w:hint="eastAsia"/>
          <w:lang w:val="en-US" w:eastAsia="zh-CN"/>
        </w:rPr>
        <w:t>3的规定执行。</w:t>
      </w:r>
    </w:p>
    <w:p w14:paraId="2041A137">
      <w:pPr>
        <w:pStyle w:val="166"/>
        <w:bidi w:val="0"/>
        <w:rPr>
          <w:rFonts w:hint="default"/>
          <w:lang w:val="en-US" w:eastAsia="zh-CN"/>
        </w:rPr>
      </w:pPr>
      <w:r>
        <w:rPr>
          <w:rFonts w:hint="eastAsia"/>
          <w:lang w:val="en-US" w:eastAsia="zh-CN"/>
        </w:rPr>
        <w:t>大肠菌群按</w:t>
      </w:r>
      <w:r>
        <w:t xml:space="preserve">GB </w:t>
      </w:r>
      <w:r>
        <w:rPr>
          <w:rFonts w:hint="eastAsia"/>
          <w:lang w:val="en-US" w:eastAsia="zh-CN"/>
        </w:rPr>
        <w:t>4789</w:t>
      </w:r>
      <w:r>
        <w:t>.</w:t>
      </w:r>
      <w:r>
        <w:rPr>
          <w:rFonts w:hint="eastAsia"/>
          <w:lang w:val="en-US" w:eastAsia="zh-CN"/>
        </w:rPr>
        <w:t>2的规定执行。</w:t>
      </w:r>
    </w:p>
    <w:p w14:paraId="346211D8">
      <w:pPr>
        <w:pStyle w:val="166"/>
        <w:bidi w:val="0"/>
        <w:rPr>
          <w:rFonts w:hint="default"/>
          <w:lang w:val="en-US" w:eastAsia="zh-CN"/>
        </w:rPr>
      </w:pPr>
      <w:r>
        <w:rPr>
          <w:rFonts w:hint="eastAsia"/>
          <w:lang w:val="en-US" w:eastAsia="zh-CN"/>
        </w:rPr>
        <w:t>霉菌计数按</w:t>
      </w:r>
      <w:r>
        <w:t xml:space="preserve">GB </w:t>
      </w:r>
      <w:r>
        <w:rPr>
          <w:rFonts w:hint="eastAsia"/>
          <w:lang w:val="en-US" w:eastAsia="zh-CN"/>
        </w:rPr>
        <w:t>4789</w:t>
      </w:r>
      <w:r>
        <w:t>.</w:t>
      </w:r>
      <w:r>
        <w:rPr>
          <w:rFonts w:hint="eastAsia"/>
          <w:lang w:val="en-US" w:eastAsia="zh-CN"/>
        </w:rPr>
        <w:t>15的规定执行。</w:t>
      </w:r>
    </w:p>
    <w:p w14:paraId="566871F0">
      <w:pPr>
        <w:pStyle w:val="166"/>
        <w:bidi w:val="0"/>
        <w:rPr>
          <w:rFonts w:hint="default"/>
          <w:lang w:val="en-US" w:eastAsia="zh-CN"/>
        </w:rPr>
      </w:pPr>
      <w:r>
        <w:rPr>
          <w:rFonts w:hint="eastAsia"/>
          <w:lang w:val="en-US" w:eastAsia="zh-CN"/>
        </w:rPr>
        <w:t>沙门氏菌按</w:t>
      </w:r>
      <w:r>
        <w:t xml:space="preserve">GB </w:t>
      </w:r>
      <w:r>
        <w:rPr>
          <w:rFonts w:hint="eastAsia"/>
          <w:lang w:val="en-US" w:eastAsia="zh-CN"/>
        </w:rPr>
        <w:t>4789</w:t>
      </w:r>
      <w:r>
        <w:t>.</w:t>
      </w:r>
      <w:r>
        <w:rPr>
          <w:rFonts w:hint="eastAsia"/>
          <w:lang w:val="en-US" w:eastAsia="zh-CN"/>
        </w:rPr>
        <w:t>4的规定执行。</w:t>
      </w:r>
    </w:p>
    <w:p w14:paraId="7EB4EE92">
      <w:pPr>
        <w:pStyle w:val="166"/>
        <w:bidi w:val="0"/>
        <w:rPr>
          <w:rFonts w:hint="default"/>
          <w:lang w:val="en-US" w:eastAsia="zh-CN"/>
        </w:rPr>
      </w:pPr>
      <w:r>
        <w:rPr>
          <w:rFonts w:hint="eastAsia"/>
          <w:lang w:val="en-US" w:eastAsia="zh-CN"/>
        </w:rPr>
        <w:t>金黄色葡萄球菌按</w:t>
      </w:r>
      <w:r>
        <w:t xml:space="preserve">GB </w:t>
      </w:r>
      <w:r>
        <w:rPr>
          <w:rFonts w:hint="eastAsia"/>
          <w:lang w:val="en-US" w:eastAsia="zh-CN"/>
        </w:rPr>
        <w:t>4789</w:t>
      </w:r>
      <w:r>
        <w:t>.</w:t>
      </w:r>
      <w:r>
        <w:rPr>
          <w:rFonts w:hint="eastAsia"/>
          <w:lang w:val="en-US" w:eastAsia="zh-CN"/>
        </w:rPr>
        <w:t>10的规定执行。</w:t>
      </w:r>
    </w:p>
    <w:p w14:paraId="79601B0B">
      <w:pPr>
        <w:pStyle w:val="105"/>
        <w:bidi w:val="0"/>
      </w:pPr>
      <w:bookmarkStart w:id="73" w:name="_Toc15248"/>
      <w:bookmarkStart w:id="74" w:name="_Toc13491"/>
      <w:r>
        <w:rPr>
          <w:rFonts w:hint="eastAsia"/>
          <w:lang w:val="en-US" w:eastAsia="zh-CN"/>
        </w:rPr>
        <w:t>净含量</w:t>
      </w:r>
      <w:bookmarkEnd w:id="73"/>
      <w:bookmarkEnd w:id="74"/>
    </w:p>
    <w:p w14:paraId="772E1EE8">
      <w:pPr>
        <w:pStyle w:val="56"/>
        <w:bidi w:val="0"/>
        <w:rPr>
          <w:rFonts w:hint="default"/>
          <w:lang w:eastAsia="zh-CN"/>
        </w:rPr>
      </w:pPr>
      <w:r>
        <w:rPr>
          <w:rFonts w:hint="default"/>
          <w:lang w:eastAsia="zh-CN"/>
        </w:rPr>
        <w:t>按 JJF 1070 的规定执行。</w:t>
      </w:r>
    </w:p>
    <w:p w14:paraId="1312D9E6">
      <w:pPr>
        <w:pStyle w:val="104"/>
        <w:bidi w:val="0"/>
        <w:rPr>
          <w:rFonts w:hint="default"/>
          <w:lang w:eastAsia="zh-CN"/>
        </w:rPr>
      </w:pPr>
      <w:bookmarkStart w:id="75" w:name="_Toc23671"/>
      <w:bookmarkStart w:id="76" w:name="_Toc30237"/>
      <w:r>
        <w:rPr>
          <w:rFonts w:hint="eastAsia"/>
          <w:lang w:val="en-US" w:eastAsia="zh-CN"/>
        </w:rPr>
        <w:t>检验规则</w:t>
      </w:r>
      <w:bookmarkEnd w:id="75"/>
      <w:bookmarkEnd w:id="76"/>
    </w:p>
    <w:p w14:paraId="0EC774BC">
      <w:pPr>
        <w:pStyle w:val="105"/>
        <w:bidi w:val="0"/>
        <w:rPr>
          <w:rFonts w:hint="default"/>
          <w:lang w:eastAsia="zh-CN"/>
        </w:rPr>
      </w:pPr>
      <w:bookmarkStart w:id="77" w:name="_Toc15117"/>
      <w:bookmarkStart w:id="78" w:name="_Toc32277"/>
      <w:r>
        <w:t>组批与取样</w:t>
      </w:r>
      <w:bookmarkEnd w:id="77"/>
      <w:bookmarkEnd w:id="78"/>
    </w:p>
    <w:p w14:paraId="3BFAA966">
      <w:pPr>
        <w:pStyle w:val="166"/>
        <w:tabs>
          <w:tab w:val="left" w:pos="2730"/>
        </w:tabs>
        <w:bidi w:val="0"/>
        <w:rPr>
          <w:rFonts w:hint="default"/>
          <w:lang w:eastAsia="zh-CN"/>
        </w:rPr>
      </w:pPr>
      <w:r>
        <w:t>产品均以批为单位。同一批产品的原料来源、生产条件、质量等级和包装规格应一致。</w:t>
      </w:r>
    </w:p>
    <w:p w14:paraId="3000DB09">
      <w:pPr>
        <w:pStyle w:val="166"/>
        <w:tabs>
          <w:tab w:val="left" w:pos="2730"/>
        </w:tabs>
        <w:bidi w:val="0"/>
        <w:rPr>
          <w:rFonts w:hint="default"/>
          <w:lang w:eastAsia="zh-CN"/>
        </w:rPr>
      </w:pPr>
      <w:r>
        <w:t>取样按 GB/T 8302 的规定执行。</w:t>
      </w:r>
    </w:p>
    <w:p w14:paraId="4638A771">
      <w:pPr>
        <w:pStyle w:val="105"/>
        <w:bidi w:val="0"/>
        <w:rPr>
          <w:rFonts w:hint="default"/>
          <w:lang w:eastAsia="zh-CN"/>
        </w:rPr>
      </w:pPr>
      <w:bookmarkStart w:id="79" w:name="_Toc10282"/>
      <w:bookmarkStart w:id="80" w:name="_Toc5541"/>
      <w:r>
        <w:t>出厂检验</w:t>
      </w:r>
      <w:bookmarkEnd w:id="79"/>
      <w:bookmarkEnd w:id="80"/>
    </w:p>
    <w:p w14:paraId="6F7217C5">
      <w:pPr>
        <w:pStyle w:val="166"/>
        <w:bidi w:val="0"/>
        <w:rPr>
          <w:rFonts w:hint="default"/>
          <w:lang w:eastAsia="zh-CN"/>
        </w:rPr>
      </w:pPr>
      <w:r>
        <w:t>产品出厂前应进行检验，经检验合格并附有合格证的产品方可出厂。</w:t>
      </w:r>
    </w:p>
    <w:p w14:paraId="21288817">
      <w:pPr>
        <w:pStyle w:val="166"/>
        <w:bidi w:val="0"/>
        <w:rPr>
          <w:rFonts w:hint="default"/>
          <w:lang w:eastAsia="zh-CN"/>
        </w:rPr>
      </w:pPr>
      <w:r>
        <w:t>出厂检验内容为感官品质、水分、净含量。</w:t>
      </w:r>
    </w:p>
    <w:p w14:paraId="7FDF990B">
      <w:pPr>
        <w:pStyle w:val="105"/>
        <w:bidi w:val="0"/>
        <w:rPr>
          <w:rFonts w:hint="default"/>
          <w:lang w:eastAsia="zh-CN"/>
        </w:rPr>
      </w:pPr>
      <w:bookmarkStart w:id="81" w:name="_Toc13335"/>
      <w:bookmarkStart w:id="82" w:name="_Toc12301"/>
      <w:r>
        <w:t>型式检验</w:t>
      </w:r>
      <w:bookmarkEnd w:id="81"/>
      <w:bookmarkEnd w:id="82"/>
    </w:p>
    <w:p w14:paraId="3DCD28BF">
      <w:pPr>
        <w:pStyle w:val="166"/>
        <w:bidi w:val="0"/>
        <w:rPr>
          <w:rFonts w:hint="default"/>
          <w:lang w:eastAsia="zh-CN"/>
        </w:rPr>
      </w:pPr>
      <w:r>
        <w:t>有下列情况之一时，应对产品质量进行型式检验：</w:t>
      </w:r>
    </w:p>
    <w:p w14:paraId="54EE2EA4">
      <w:pPr>
        <w:pStyle w:val="133"/>
        <w:bidi w:val="0"/>
        <w:rPr>
          <w:rFonts w:hint="default"/>
          <w:lang w:eastAsia="zh-CN"/>
        </w:rPr>
      </w:pPr>
      <w:r>
        <w:rPr>
          <w:rFonts w:hint="eastAsia"/>
        </w:rPr>
        <w:t>新产品投产或产品定型鉴定时；</w:t>
      </w:r>
    </w:p>
    <w:p w14:paraId="02AE8756">
      <w:pPr>
        <w:pStyle w:val="133"/>
        <w:bidi w:val="0"/>
        <w:rPr>
          <w:rFonts w:hint="default"/>
          <w:lang w:eastAsia="zh-CN"/>
        </w:rPr>
      </w:pPr>
      <w:r>
        <w:rPr>
          <w:rFonts w:hint="eastAsia"/>
        </w:rPr>
        <w:t>原料来源、工艺或关键设备发生较大变化，可能影响产品质量时；</w:t>
      </w:r>
    </w:p>
    <w:p w14:paraId="0438147D">
      <w:pPr>
        <w:pStyle w:val="133"/>
        <w:bidi w:val="0"/>
        <w:rPr>
          <w:rFonts w:hint="default"/>
          <w:lang w:eastAsia="zh-CN"/>
        </w:rPr>
      </w:pPr>
      <w:r>
        <w:rPr>
          <w:rFonts w:hint="eastAsia"/>
        </w:rPr>
        <w:t>停产半年以上恢复生产时；</w:t>
      </w:r>
    </w:p>
    <w:p w14:paraId="4B4090FD">
      <w:pPr>
        <w:pStyle w:val="133"/>
        <w:bidi w:val="0"/>
        <w:rPr>
          <w:rFonts w:hint="default"/>
          <w:lang w:eastAsia="zh-CN"/>
        </w:rPr>
      </w:pPr>
      <w:r>
        <w:rPr>
          <w:rFonts w:hint="eastAsia"/>
        </w:rPr>
        <w:t>正常生产时，每年至少进行一次；</w:t>
      </w:r>
    </w:p>
    <w:p w14:paraId="4E0F849E">
      <w:pPr>
        <w:pStyle w:val="133"/>
        <w:bidi w:val="0"/>
        <w:rPr>
          <w:rFonts w:hint="default"/>
          <w:lang w:eastAsia="zh-CN"/>
        </w:rPr>
      </w:pPr>
      <w:r>
        <w:rPr>
          <w:rFonts w:hint="eastAsia"/>
        </w:rPr>
        <w:t>合同规定或客户要求时；</w:t>
      </w:r>
    </w:p>
    <w:p w14:paraId="39970A4A">
      <w:pPr>
        <w:pStyle w:val="133"/>
        <w:bidi w:val="0"/>
        <w:rPr>
          <w:rFonts w:hint="default"/>
          <w:lang w:eastAsia="zh-CN"/>
        </w:rPr>
      </w:pPr>
      <w:r>
        <w:rPr>
          <w:rFonts w:hint="eastAsia"/>
        </w:rPr>
        <w:t>国家有关监督管理部门提出型式检验要求时。</w:t>
      </w:r>
    </w:p>
    <w:p w14:paraId="6A0FDE5B">
      <w:pPr>
        <w:pStyle w:val="166"/>
        <w:bidi w:val="0"/>
        <w:rPr>
          <w:rFonts w:hint="default"/>
          <w:lang w:eastAsia="zh-CN"/>
        </w:rPr>
      </w:pPr>
      <w:r>
        <w:t>型式检验的项目为本标准第4章规定的全部项目。</w:t>
      </w:r>
    </w:p>
    <w:p w14:paraId="4318FBC8">
      <w:pPr>
        <w:pStyle w:val="105"/>
        <w:bidi w:val="0"/>
        <w:rPr>
          <w:rFonts w:hint="default"/>
          <w:lang w:eastAsia="zh-CN"/>
        </w:rPr>
      </w:pPr>
      <w:bookmarkStart w:id="83" w:name="_Toc3783"/>
      <w:bookmarkStart w:id="84" w:name="_Toc11570"/>
      <w:r>
        <w:t>判定规则</w:t>
      </w:r>
      <w:bookmarkEnd w:id="83"/>
      <w:bookmarkEnd w:id="84"/>
    </w:p>
    <w:p w14:paraId="047FEFA0">
      <w:pPr>
        <w:pStyle w:val="166"/>
        <w:bidi w:val="0"/>
        <w:rPr>
          <w:rFonts w:hint="default"/>
          <w:lang w:eastAsia="zh-CN"/>
        </w:rPr>
      </w:pPr>
      <w:r>
        <w:t>感官要求、理化判定指标、安全要求和净含量均应符合本文件相应规定。</w:t>
      </w:r>
    </w:p>
    <w:p w14:paraId="475FE58F">
      <w:pPr>
        <w:pStyle w:val="166"/>
        <w:bidi w:val="0"/>
        <w:rPr>
          <w:rFonts w:hint="default"/>
          <w:lang w:eastAsia="zh-CN"/>
        </w:rPr>
      </w:pPr>
      <w:r>
        <w:t>检验结果中，凡感官要求、理化判定指标、安全要求或净含量有一项不符合本文件规定的，判该批产品为不合格。</w:t>
      </w:r>
    </w:p>
    <w:p w14:paraId="69A3C0DD">
      <w:pPr>
        <w:pStyle w:val="105"/>
        <w:bidi w:val="0"/>
        <w:rPr>
          <w:rFonts w:hint="default"/>
          <w:lang w:eastAsia="zh-CN"/>
        </w:rPr>
      </w:pPr>
      <w:bookmarkStart w:id="85" w:name="_Toc16837"/>
      <w:bookmarkStart w:id="86" w:name="_Toc23185"/>
      <w:r>
        <w:rPr>
          <w:rFonts w:hint="eastAsia"/>
          <w:lang w:val="en-US" w:eastAsia="zh-CN"/>
        </w:rPr>
        <w:t>复检</w:t>
      </w:r>
      <w:bookmarkEnd w:id="85"/>
      <w:bookmarkEnd w:id="86"/>
    </w:p>
    <w:p w14:paraId="152766E9">
      <w:pPr>
        <w:pStyle w:val="56"/>
        <w:bidi w:val="0"/>
        <w:rPr>
          <w:rFonts w:hint="default"/>
          <w:lang w:eastAsia="zh-CN"/>
        </w:rPr>
      </w:pPr>
      <w:r>
        <w:rPr>
          <w:rFonts w:hint="default"/>
          <w:lang w:eastAsia="zh-CN"/>
        </w:rPr>
        <w:t>对检验结果有争议时，应对留存样进行复检，或在同批产品中重新按GB/T</w:t>
      </w:r>
      <w:r>
        <w:rPr>
          <w:rFonts w:hint="eastAsia"/>
          <w:lang w:val="en-US" w:eastAsia="zh-CN"/>
        </w:rPr>
        <w:t xml:space="preserve"> </w:t>
      </w:r>
      <w:r>
        <w:rPr>
          <w:rFonts w:hint="default"/>
          <w:lang w:eastAsia="zh-CN"/>
        </w:rPr>
        <w:t>8302规定加倍抽样，对不合格项目进行复检，以复检结果为准。</w:t>
      </w:r>
    </w:p>
    <w:p w14:paraId="66E54D24">
      <w:pPr>
        <w:pStyle w:val="104"/>
        <w:bidi w:val="0"/>
        <w:rPr>
          <w:rFonts w:hint="default"/>
          <w:lang w:eastAsia="zh-CN"/>
        </w:rPr>
      </w:pPr>
      <w:bookmarkStart w:id="87" w:name="_Toc10705"/>
      <w:bookmarkStart w:id="88" w:name="_Toc16569"/>
      <w:r>
        <w:t>标志、标签、包装、运输、贮存及追溯与召回</w:t>
      </w:r>
      <w:bookmarkEnd w:id="87"/>
      <w:bookmarkEnd w:id="88"/>
    </w:p>
    <w:p w14:paraId="76724D37">
      <w:pPr>
        <w:pStyle w:val="105"/>
        <w:bidi w:val="0"/>
        <w:rPr>
          <w:rFonts w:hint="default"/>
          <w:lang w:eastAsia="zh-CN"/>
        </w:rPr>
      </w:pPr>
      <w:bookmarkStart w:id="89" w:name="_Toc4522"/>
      <w:bookmarkStart w:id="90" w:name="_Toc11201"/>
      <w:r>
        <w:t>标志、标签</w:t>
      </w:r>
      <w:bookmarkEnd w:id="89"/>
      <w:bookmarkEnd w:id="90"/>
    </w:p>
    <w:p w14:paraId="6389555F">
      <w:pPr>
        <w:pStyle w:val="166"/>
        <w:bidi w:val="0"/>
        <w:rPr>
          <w:rFonts w:hint="default"/>
          <w:lang w:eastAsia="zh-CN"/>
        </w:rPr>
      </w:pPr>
      <w:r>
        <w:t>包装储运图示标志应符合 GB/T 191 的规定。</w:t>
      </w:r>
    </w:p>
    <w:p w14:paraId="6224386A">
      <w:pPr>
        <w:pStyle w:val="166"/>
        <w:bidi w:val="0"/>
        <w:rPr>
          <w:rFonts w:hint="default"/>
          <w:lang w:eastAsia="zh-CN"/>
        </w:rPr>
      </w:pPr>
      <w:r>
        <w:t>预包装产品标签应符合 GB 7718、GB 28050 及有关规定。</w:t>
      </w:r>
    </w:p>
    <w:p w14:paraId="245E3748">
      <w:pPr>
        <w:pStyle w:val="105"/>
        <w:bidi w:val="0"/>
        <w:rPr>
          <w:rFonts w:hint="default"/>
          <w:lang w:eastAsia="zh-CN"/>
        </w:rPr>
      </w:pPr>
      <w:bookmarkStart w:id="91" w:name="_Toc6447"/>
      <w:bookmarkStart w:id="92" w:name="_Toc20737"/>
      <w:r>
        <w:rPr>
          <w:rFonts w:hint="eastAsia"/>
          <w:lang w:val="en-US" w:eastAsia="zh-CN"/>
        </w:rPr>
        <w:t>包装</w:t>
      </w:r>
      <w:bookmarkEnd w:id="91"/>
      <w:bookmarkEnd w:id="92"/>
    </w:p>
    <w:p w14:paraId="155B8EAE">
      <w:pPr>
        <w:pStyle w:val="166"/>
        <w:bidi w:val="0"/>
        <w:rPr>
          <w:rFonts w:hint="default"/>
          <w:lang w:eastAsia="zh-CN"/>
        </w:rPr>
      </w:pPr>
      <w:r>
        <w:t>包装应符合 GH/T 1070 的规定。</w:t>
      </w:r>
    </w:p>
    <w:p w14:paraId="30DBAB31">
      <w:pPr>
        <w:pStyle w:val="166"/>
        <w:bidi w:val="0"/>
        <w:rPr>
          <w:rFonts w:hint="default"/>
          <w:lang w:eastAsia="zh-CN"/>
        </w:rPr>
      </w:pPr>
      <w:r>
        <w:t>直接接触产品的包装材料和容器应符合 GB 4806.1 及相应食品安全国家标准的规定。</w:t>
      </w:r>
    </w:p>
    <w:p w14:paraId="61D6434F">
      <w:pPr>
        <w:pStyle w:val="166"/>
        <w:bidi w:val="0"/>
        <w:rPr>
          <w:rFonts w:hint="default"/>
          <w:lang w:eastAsia="zh-CN"/>
        </w:rPr>
      </w:pPr>
      <w:r>
        <w:t>包装应密封良好，并具有防潮、避光、防异味污染的性能。</w:t>
      </w:r>
    </w:p>
    <w:p w14:paraId="54D5EA24">
      <w:pPr>
        <w:pStyle w:val="105"/>
        <w:bidi w:val="0"/>
        <w:rPr>
          <w:rFonts w:hint="default"/>
          <w:lang w:eastAsia="zh-CN"/>
        </w:rPr>
      </w:pPr>
      <w:bookmarkStart w:id="93" w:name="_Toc21189"/>
      <w:bookmarkStart w:id="94" w:name="_Toc1864"/>
      <w:r>
        <w:rPr>
          <w:rFonts w:hint="eastAsia"/>
          <w:lang w:val="en-US" w:eastAsia="zh-CN"/>
        </w:rPr>
        <w:t>运输</w:t>
      </w:r>
      <w:bookmarkEnd w:id="93"/>
      <w:bookmarkEnd w:id="94"/>
    </w:p>
    <w:p w14:paraId="6A162630">
      <w:pPr>
        <w:pStyle w:val="166"/>
        <w:bidi w:val="0"/>
        <w:rPr>
          <w:rFonts w:hint="default"/>
          <w:lang w:eastAsia="zh-CN"/>
        </w:rPr>
      </w:pPr>
      <w:r>
        <w:rPr>
          <w:rFonts w:hint="default" w:ascii="Times New Roman" w:hAnsi="Times New Roman" w:eastAsia="宋体" w:cs="Times New Roman"/>
          <w:color w:val="auto"/>
          <w:kern w:val="2"/>
          <w:szCs w:val="21"/>
          <w:lang w:eastAsia="zh-CN"/>
        </w:rPr>
        <w:t>运输工具应清洁、干燥、无异味、无污染；运输时应防潮、防雨、防晒；装卸时应轻放轻卸，不得与有毒、有害、有异味、易污染的物品混装混运。</w:t>
      </w:r>
    </w:p>
    <w:p w14:paraId="131D2784">
      <w:pPr>
        <w:pStyle w:val="105"/>
        <w:bidi w:val="0"/>
        <w:rPr>
          <w:rFonts w:hint="default"/>
          <w:lang w:eastAsia="zh-CN"/>
        </w:rPr>
      </w:pPr>
      <w:bookmarkStart w:id="95" w:name="_Toc15551"/>
      <w:bookmarkStart w:id="96" w:name="_Toc14350"/>
      <w:r>
        <w:t>贮存</w:t>
      </w:r>
      <w:bookmarkEnd w:id="95"/>
      <w:bookmarkEnd w:id="96"/>
    </w:p>
    <w:p w14:paraId="1FAB2DAA">
      <w:pPr>
        <w:pStyle w:val="56"/>
        <w:bidi w:val="0"/>
      </w:pPr>
      <w:r>
        <w:rPr>
          <w:rFonts w:hint="eastAsia"/>
        </w:rPr>
        <w:t>贮存应符合 GB/T 30375 的规定。产品应贮于清洁、干燥、无异味、避免阳光直射的专用库房或冷库中，并防止受潮、吸附异味和交叉污染</w:t>
      </w:r>
      <w:r>
        <w:t>。</w:t>
      </w:r>
    </w:p>
    <w:p w14:paraId="658489A3">
      <w:pPr>
        <w:pStyle w:val="56"/>
        <w:bidi w:val="0"/>
      </w:pPr>
    </w:p>
    <w:p w14:paraId="0C1E1C9F">
      <w:pPr>
        <w:pStyle w:val="105"/>
        <w:bidi w:val="0"/>
      </w:pPr>
      <w:bookmarkStart w:id="97" w:name="_Toc13283"/>
      <w:bookmarkStart w:id="98" w:name="_Toc19207"/>
      <w:r>
        <w:t>追溯与召回</w:t>
      </w:r>
      <w:bookmarkEnd w:id="97"/>
      <w:bookmarkEnd w:id="98"/>
    </w:p>
    <w:p w14:paraId="419AC42B">
      <w:pPr>
        <w:pStyle w:val="231"/>
        <w:rPr>
          <w:rFonts w:hint="eastAsia"/>
        </w:rPr>
      </w:pPr>
      <w:r>
        <w:t>生产者应建立覆盖原料采购、原料验收、检验放行、产品贮存、销售流向等环节的追溯制度。相关记录应与产品批号保持对应关系。</w:t>
      </w:r>
    </w:p>
    <w:p w14:paraId="46E30FA3">
      <w:pPr>
        <w:pStyle w:val="231"/>
        <w:rPr>
          <w:rFonts w:hint="eastAsia"/>
        </w:rPr>
      </w:pPr>
      <w:r>
        <w:rPr>
          <w:rFonts w:hint="eastAsia"/>
        </w:rPr>
        <w:t>发现产品不符合食品安全要求、存在质量安全风险或者不符合本文件规定时，生产者应按有关法律法规及时采取停止销售、召回、处置、原因分析和整改等措施，并保存相关记录。</w:t>
      </w:r>
    </w:p>
    <w:p w14:paraId="6E300050">
      <w:pPr>
        <w:pStyle w:val="231"/>
      </w:pPr>
      <w:r>
        <w:rPr>
          <w:rFonts w:hint="eastAsia"/>
        </w:rPr>
        <w:t>对拟出口欧盟及相关目标市场的产品，宜保存与出口符合性识别相关的检测记录、限量依据、标签资料、包装材料符合性资料及客户或目标市场要求文件，以满足出口追溯和合规核查需要</w:t>
      </w:r>
      <w:r>
        <w:t>。</w:t>
      </w:r>
    </w:p>
    <w:bookmarkEnd w:id="24"/>
    <w:p w14:paraId="1AC81E48">
      <w:pPr>
        <w:pStyle w:val="56"/>
        <w:bidi w:val="0"/>
        <w:ind w:firstLine="0" w:firstLineChars="0"/>
        <w:jc w:val="center"/>
        <w:rPr>
          <w:rFonts w:hint="eastAsia"/>
          <w:lang w:eastAsia="zh-CN"/>
        </w:rPr>
      </w:pPr>
      <w:bookmarkStart w:id="99" w:name="BookMark8"/>
      <w:r>
        <w:rPr>
          <w:rFonts w:hint="eastAsia"/>
          <w:lang w:eastAsia="zh-CN"/>
        </w:rPr>
        <w:drawing>
          <wp:inline distT="0" distB="0" distL="114300" distR="114300">
            <wp:extent cx="1485900" cy="317500"/>
            <wp:effectExtent l="0" t="0" r="0" b="0"/>
            <wp:docPr id="4" name="图片 4" descr="1"/>
            <wp:cNvGraphicFramePr/>
            <a:graphic xmlns:a="http://schemas.openxmlformats.org/drawingml/2006/main">
              <a:graphicData uri="http://schemas.openxmlformats.org/drawingml/2006/picture">
                <pic:pic xmlns:pic="http://schemas.openxmlformats.org/drawingml/2006/picture">
                  <pic:nvPicPr>
                    <pic:cNvPr id="4" name="图片 4" descr="1"/>
                    <pic:cNvPicPr/>
                  </pic:nvPicPr>
                  <pic:blipFill>
                    <a:blip r:embed="rId14"/>
                    <a:stretch>
                      <a:fillRect/>
                    </a:stretch>
                  </pic:blipFill>
                  <pic:spPr>
                    <a:xfrm>
                      <a:off x="0" y="0"/>
                      <a:ext cx="1485900" cy="317500"/>
                    </a:xfrm>
                    <a:prstGeom prst="rect">
                      <a:avLst/>
                    </a:prstGeom>
                  </pic:spPr>
                </pic:pic>
              </a:graphicData>
            </a:graphic>
          </wp:inline>
        </w:drawing>
      </w:r>
      <w:bookmarkEnd w:id="99"/>
    </w:p>
    <w:sectPr>
      <w:pgSz w:w="11906" w:h="16838"/>
      <w:pgMar w:top="1928" w:right="1134" w:bottom="1134" w:left="1134" w:header="1418" w:footer="1134" w:gutter="284"/>
      <w:pgNumType w:start="1"/>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26B6D">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8E29D">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2EF22">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61CD1">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3CA2E">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13336">
    <w:pPr>
      <w:pStyle w:val="61"/>
      <w:rPr>
        <w:rFonts w:hint="eastAsia"/>
      </w:rPr>
    </w:pPr>
    <w:r>
      <w:fldChar w:fldCharType="begin"/>
    </w:r>
    <w:r>
      <w:instrText xml:space="preserve"> STYLEREF  标准文件_文件编号  \* MERGEFORMAT </w:instrText>
    </w:r>
    <w:r>
      <w:fldChar w:fldCharType="separate"/>
    </w:r>
    <w:r>
      <w:t>T/XXX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5"/>
      <w:lvlText w:val="%1)"/>
      <w:lvlJc w:val="left"/>
      <w:pPr>
        <w:tabs>
          <w:tab w:val="left" w:pos="851"/>
        </w:tabs>
        <w:ind w:left="851"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3"/>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7"/>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6"/>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40D36"/>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6125FBF"/>
    <w:rsid w:val="065709EF"/>
    <w:rsid w:val="12357390"/>
    <w:rsid w:val="1CA40D36"/>
    <w:rsid w:val="242B2707"/>
    <w:rsid w:val="25AA4999"/>
    <w:rsid w:val="2F543660"/>
    <w:rsid w:val="33AA4AED"/>
    <w:rsid w:val="401B05D2"/>
    <w:rsid w:val="40FD7D9D"/>
    <w:rsid w:val="75CA13C5"/>
    <w:rsid w:val="771357EC"/>
    <w:rsid w:val="7EE23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5"/>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6"/>
    <w:next w:val="56"/>
    <w:qFormat/>
    <w:uiPriority w:val="0"/>
    <w:pPr>
      <w:numPr>
        <w:ilvl w:val="2"/>
      </w:numPr>
      <w:spacing w:before="50" w:beforeLines="50" w:after="50" w:afterLines="50"/>
      <w:outlineLvl w:val="1"/>
    </w:pPr>
  </w:style>
  <w:style w:type="paragraph" w:customStyle="1" w:styleId="106">
    <w:name w:val="1章标题"/>
    <w:next w:val="56"/>
    <w:qFormat/>
    <w:uiPriority w:val="99"/>
    <w:pPr>
      <w:numPr>
        <w:ilvl w:val="1"/>
        <w:numId w:val="2"/>
      </w:numPr>
      <w:spacing w:beforeLines="50" w:afterLines="50"/>
      <w:jc w:val="both"/>
      <w:outlineLvl w:val="0"/>
    </w:pPr>
    <w:rPr>
      <w:rFonts w:ascii="黑体" w:hAnsi="Times New Roman" w:eastAsia="黑体" w:cs="黑体"/>
      <w:kern w:val="0"/>
      <w:sz w:val="21"/>
      <w:szCs w:val="21"/>
      <w:lang w:val="en-US" w:eastAsia="zh-CN" w:bidi="ar-SA"/>
    </w:r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1">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0">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6"/>
    <w:qFormat/>
    <w:uiPriority w:val="0"/>
    <w:pPr>
      <w:outlineLvl w:val="4"/>
    </w:pPr>
  </w:style>
  <w:style w:type="paragraph" w:customStyle="1" w:styleId="131">
    <w:name w:val="附录四级无标题条"/>
    <w:basedOn w:val="130"/>
    <w:next w:val="56"/>
    <w:qFormat/>
    <w:uiPriority w:val="0"/>
    <w:pPr>
      <w:outlineLvl w:val="5"/>
    </w:pPr>
  </w:style>
  <w:style w:type="paragraph" w:customStyle="1" w:styleId="132">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6"/>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7"/>
    <w:next w:val="56"/>
    <w:qFormat/>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qFormat/>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6"/>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autoRedefine/>
    <w:semiHidden/>
    <w:qFormat/>
    <w:uiPriority w:val="0"/>
    <w:pPr>
      <w:adjustRightInd/>
      <w:spacing w:line="240" w:lineRule="auto"/>
      <w:jc w:val="left"/>
    </w:pPr>
    <w:rPr>
      <w:bCs/>
      <w:iCs/>
    </w:rPr>
  </w:style>
  <w:style w:type="paragraph" w:customStyle="1" w:styleId="144">
    <w:name w:val="目录 31"/>
    <w:basedOn w:val="1"/>
    <w:next w:val="1"/>
    <w:autoRedefine/>
    <w:semiHidden/>
    <w:qFormat/>
    <w:uiPriority w:val="0"/>
    <w:pPr>
      <w:spacing w:line="240" w:lineRule="auto"/>
    </w:pPr>
    <w:rPr>
      <w:rFonts w:ascii="宋体" w:hAnsi="宋体"/>
      <w:iCs/>
    </w:rPr>
  </w:style>
  <w:style w:type="paragraph" w:customStyle="1" w:styleId="145">
    <w:name w:val="目录 41"/>
    <w:basedOn w:val="1"/>
    <w:next w:val="1"/>
    <w:autoRedefine/>
    <w:semiHidden/>
    <w:qFormat/>
    <w:uiPriority w:val="0"/>
    <w:pPr>
      <w:adjustRightInd/>
      <w:spacing w:line="240" w:lineRule="auto"/>
      <w:jc w:val="left"/>
    </w:pPr>
  </w:style>
  <w:style w:type="paragraph" w:customStyle="1" w:styleId="146">
    <w:name w:val="目录 51"/>
    <w:basedOn w:val="1"/>
    <w:next w:val="1"/>
    <w:autoRedefine/>
    <w:semiHidden/>
    <w:qFormat/>
    <w:uiPriority w:val="0"/>
    <w:pPr>
      <w:spacing w:line="240" w:lineRule="auto"/>
    </w:pPr>
    <w:rPr>
      <w:rFonts w:ascii="宋体" w:hAnsi="宋体"/>
    </w:rPr>
  </w:style>
  <w:style w:type="paragraph" w:customStyle="1" w:styleId="147">
    <w:name w:val="目录 61"/>
    <w:basedOn w:val="1"/>
    <w:next w:val="1"/>
    <w:autoRedefine/>
    <w:semiHidden/>
    <w:qFormat/>
    <w:uiPriority w:val="0"/>
    <w:pPr>
      <w:adjustRightInd/>
      <w:spacing w:line="240" w:lineRule="auto"/>
      <w:jc w:val="left"/>
    </w:pPr>
  </w:style>
  <w:style w:type="paragraph" w:customStyle="1" w:styleId="148">
    <w:name w:val="目录 71"/>
    <w:basedOn w:val="147"/>
    <w:autoRedefine/>
    <w:semiHidden/>
    <w:qFormat/>
    <w:uiPriority w:val="0"/>
    <w:pPr>
      <w:ind w:left="1260"/>
    </w:pPr>
  </w:style>
  <w:style w:type="paragraph" w:customStyle="1" w:styleId="149">
    <w:name w:val="目录 81"/>
    <w:basedOn w:val="148"/>
    <w:autoRedefine/>
    <w:semiHidden/>
    <w:qFormat/>
    <w:uiPriority w:val="0"/>
    <w:pPr>
      <w:ind w:left="1470"/>
    </w:pPr>
  </w:style>
  <w:style w:type="paragraph" w:customStyle="1" w:styleId="150">
    <w:name w:val="目录 91"/>
    <w:basedOn w:val="149"/>
    <w:autoRedefine/>
    <w:semiHidden/>
    <w:qFormat/>
    <w:uiPriority w:val="0"/>
    <w:pPr>
      <w:ind w:left="1680"/>
    </w:pPr>
  </w:style>
  <w:style w:type="paragraph" w:customStyle="1" w:styleId="1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framePr w:wrap="around"/>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wrap="around" w:xAlign="right"/>
      <w:jc w:val="right"/>
    </w:pPr>
  </w:style>
  <w:style w:type="paragraph" w:customStyle="1" w:styleId="15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6"/>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5"/>
    <w:qFormat/>
    <w:uiPriority w:val="0"/>
    <w:pPr>
      <w:spacing w:before="0" w:beforeLines="0" w:after="0" w:afterLines="0"/>
      <w:outlineLvl w:val="9"/>
    </w:pPr>
    <w:rPr>
      <w:rFonts w:ascii="宋体" w:eastAsia="宋体"/>
    </w:rPr>
  </w:style>
  <w:style w:type="paragraph" w:customStyle="1" w:styleId="164">
    <w:name w:val="标准文件_五级无标题"/>
    <w:basedOn w:val="103"/>
    <w:qFormat/>
    <w:uiPriority w:val="0"/>
    <w:pPr>
      <w:spacing w:before="0" w:beforeLines="0" w:after="0" w:afterLines="0"/>
      <w:outlineLvl w:val="9"/>
    </w:pPr>
    <w:rPr>
      <w:rFonts w:ascii="宋体" w:eastAsia="宋体"/>
    </w:rPr>
  </w:style>
  <w:style w:type="paragraph" w:customStyle="1" w:styleId="165">
    <w:name w:val="标准文件_三级无标题"/>
    <w:basedOn w:val="94"/>
    <w:qFormat/>
    <w:uiPriority w:val="0"/>
    <w:pPr>
      <w:spacing w:before="0" w:beforeLines="0" w:after="0" w:afterLines="0"/>
      <w:outlineLvl w:val="9"/>
    </w:pPr>
    <w:rPr>
      <w:rFonts w:ascii="宋体" w:eastAsia="宋体"/>
    </w:rPr>
  </w:style>
  <w:style w:type="paragraph" w:customStyle="1" w:styleId="166">
    <w:name w:val="标准文件_二级无标题"/>
    <w:basedOn w:val="65"/>
    <w:qFormat/>
    <w:uiPriority w:val="0"/>
    <w:pPr>
      <w:spacing w:before="0" w:beforeLines="0" w:after="0" w:afterLines="0"/>
      <w:outlineLvl w:val="9"/>
    </w:pPr>
    <w:rPr>
      <w:rFonts w:ascii="宋体" w:eastAsia="宋体"/>
    </w:rPr>
  </w:style>
  <w:style w:type="paragraph" w:customStyle="1" w:styleId="167">
    <w:name w:val="标准_四级无标题"/>
    <w:basedOn w:val="98"/>
    <w:next w:val="56"/>
    <w:qFormat/>
    <w:uiPriority w:val="0"/>
    <w:rPr>
      <w:rFonts w:eastAsia="宋体"/>
    </w:rPr>
  </w:style>
  <w:style w:type="paragraph" w:customStyle="1" w:styleId="168">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6"/>
    <w:qFormat/>
    <w:uiPriority w:val="0"/>
    <w:pPr>
      <w:numPr>
        <w:ilvl w:val="0"/>
        <w:numId w:val="23"/>
      </w:numPr>
      <w:ind w:firstLine="0" w:firstLineChars="0"/>
    </w:pPr>
    <w:rPr>
      <w:rFonts w:cs="Arial"/>
      <w:szCs w:val="28"/>
    </w:rPr>
  </w:style>
  <w:style w:type="paragraph" w:customStyle="1" w:styleId="170">
    <w:name w:val="标准文件_小写罗马数字编号列项"/>
    <w:basedOn w:val="56"/>
    <w:qFormat/>
    <w:uiPriority w:val="0"/>
    <w:pPr>
      <w:numPr>
        <w:ilvl w:val="0"/>
        <w:numId w:val="24"/>
      </w:numPr>
      <w:ind w:firstLine="0" w:firstLineChars="0"/>
    </w:pPr>
    <w:rPr>
      <w:rFonts w:cs="Arial"/>
      <w:szCs w:val="28"/>
    </w:rPr>
  </w:style>
  <w:style w:type="paragraph" w:customStyle="1" w:styleId="171">
    <w:name w:val="标准文件_附录标题"/>
    <w:basedOn w:val="76"/>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6"/>
    <w:qFormat/>
    <w:uiPriority w:val="0"/>
    <w:pPr>
      <w:ind w:firstLine="0" w:firstLineChars="0"/>
      <w:jc w:val="center"/>
    </w:pPr>
    <w:rPr>
      <w:sz w:val="18"/>
    </w:rPr>
  </w:style>
  <w:style w:type="paragraph" w:customStyle="1" w:styleId="180">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6"/>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6"/>
    <w:qFormat/>
    <w:uiPriority w:val="0"/>
    <w:rPr>
      <w:rFonts w:ascii="Times New Roman" w:hAnsi="Times New Roman"/>
      <w:sz w:val="21"/>
    </w:rPr>
  </w:style>
  <w:style w:type="paragraph" w:customStyle="1" w:styleId="186">
    <w:name w:val="标准文件_表格续"/>
    <w:basedOn w:val="56"/>
    <w:next w:val="56"/>
    <w:qFormat/>
    <w:uiPriority w:val="0"/>
    <w:pPr>
      <w:jc w:val="center"/>
    </w:pPr>
    <w:rPr>
      <w:rFonts w:ascii="黑体" w:hAnsi="黑体" w:eastAsia="黑体"/>
    </w:rPr>
  </w:style>
  <w:style w:type="character" w:styleId="187">
    <w:name w:val="Placeholder Text"/>
    <w:basedOn w:val="28"/>
    <w:semiHidden/>
    <w:qFormat/>
    <w:uiPriority w:val="99"/>
    <w:rPr>
      <w:color w:val="808080"/>
    </w:rPr>
  </w:style>
  <w:style w:type="paragraph" w:customStyle="1" w:styleId="188">
    <w:name w:val="标准文件_二级项2"/>
    <w:basedOn w:val="56"/>
    <w:qFormat/>
    <w:uiPriority w:val="0"/>
    <w:pPr>
      <w:numPr>
        <w:ilvl w:val="1"/>
        <w:numId w:val="21"/>
      </w:numPr>
      <w:ind w:firstLine="0" w:firstLineChars="0"/>
    </w:pPr>
  </w:style>
  <w:style w:type="paragraph" w:customStyle="1" w:styleId="189">
    <w:name w:val="标准文件_三级项2"/>
    <w:basedOn w:val="56"/>
    <w:qFormat/>
    <w:uiPriority w:val="0"/>
    <w:pPr>
      <w:numPr>
        <w:ilvl w:val="0"/>
        <w:numId w:val="30"/>
      </w:numPr>
      <w:spacing w:line="300" w:lineRule="exact"/>
      <w:ind w:firstLineChars="0"/>
    </w:pPr>
  </w:style>
  <w:style w:type="paragraph" w:customStyle="1" w:styleId="190">
    <w:name w:val="标准文件_一级项2"/>
    <w:basedOn w:val="56"/>
    <w:qFormat/>
    <w:uiPriority w:val="0"/>
    <w:pPr>
      <w:numPr>
        <w:ilvl w:val="0"/>
        <w:numId w:val="31"/>
      </w:numPr>
      <w:spacing w:line="300" w:lineRule="exact"/>
      <w:ind w:firstLineChars="0"/>
    </w:pPr>
  </w:style>
  <w:style w:type="paragraph" w:customStyle="1" w:styleId="191">
    <w:name w:val="标准文件_提示"/>
    <w:basedOn w:val="56"/>
    <w:next w:val="56"/>
    <w:qFormat/>
    <w:uiPriority w:val="0"/>
    <w:pPr>
      <w:ind w:firstLine="420"/>
    </w:pPr>
    <w:rPr>
      <w:rFonts w:ascii="黑体" w:eastAsia="黑体"/>
    </w:rPr>
  </w:style>
  <w:style w:type="character" w:customStyle="1" w:styleId="192">
    <w:name w:val="标准文件_来源"/>
    <w:basedOn w:val="28"/>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qFormat/>
    <w:uiPriority w:val="0"/>
    <w:pPr>
      <w:framePr w:w="3997" w:h="471" w:hRule="exact" w:hSpace="0" w:vSpace="181" w:wrap="around" w:vAnchor="page" w:hAnchor="page" w:x="1419" w:y="14097"/>
    </w:pPr>
  </w:style>
  <w:style w:type="paragraph" w:customStyle="1" w:styleId="195">
    <w:name w:val="其他实施日期"/>
    <w:basedOn w:val="155"/>
    <w:qFormat/>
    <w:uiPriority w:val="0"/>
    <w:pPr>
      <w:framePr w:w="3997" w:h="471" w:hRule="exact" w:vSpace="181" w:wrap="around" w:vAnchor="page" w:hAnchor="page" w:x="7089" w:y="14097"/>
    </w:pPr>
  </w:style>
  <w:style w:type="paragraph" w:customStyle="1" w:styleId="196">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spacing w:before="57"/>
    </w:pPr>
    <w:rPr>
      <w:sz w:val="21"/>
    </w:rPr>
  </w:style>
  <w:style w:type="paragraph" w:customStyle="1" w:styleId="198">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2">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3">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4">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6"/>
    <w:qFormat/>
    <w:uiPriority w:val="0"/>
    <w:pPr>
      <w:ind w:left="811" w:firstLine="0" w:firstLineChars="0"/>
    </w:pPr>
    <w:rPr>
      <w:sz w:val="18"/>
    </w:rPr>
  </w:style>
  <w:style w:type="paragraph" w:customStyle="1" w:styleId="207">
    <w:name w:val="标准文件_注X后"/>
    <w:basedOn w:val="56"/>
    <w:qFormat/>
    <w:uiPriority w:val="0"/>
    <w:pPr>
      <w:ind w:left="811" w:firstLine="0" w:firstLineChars="0"/>
    </w:pPr>
    <w:rPr>
      <w:sz w:val="18"/>
    </w:rPr>
  </w:style>
  <w:style w:type="paragraph" w:customStyle="1" w:styleId="208">
    <w:name w:val="标准文件_示例后"/>
    <w:basedOn w:val="56"/>
    <w:qFormat/>
    <w:uiPriority w:val="0"/>
    <w:pPr>
      <w:ind w:left="964" w:firstLine="0" w:firstLineChars="0"/>
    </w:pPr>
    <w:rPr>
      <w:sz w:val="18"/>
    </w:rPr>
  </w:style>
  <w:style w:type="paragraph" w:customStyle="1" w:styleId="209">
    <w:name w:val="标准文件_示例X后"/>
    <w:basedOn w:val="56"/>
    <w:link w:val="210"/>
    <w:qFormat/>
    <w:uiPriority w:val="0"/>
    <w:pPr>
      <w:ind w:left="1049" w:firstLine="0" w:firstLineChars="0"/>
    </w:pPr>
    <w:rPr>
      <w:sz w:val="18"/>
    </w:rPr>
  </w:style>
  <w:style w:type="character" w:customStyle="1" w:styleId="210">
    <w:name w:val="标准文件_示例X后 字符"/>
    <w:basedOn w:val="185"/>
    <w:link w:val="209"/>
    <w:qFormat/>
    <w:uiPriority w:val="0"/>
    <w:rPr>
      <w:rFonts w:ascii="宋体" w:hAnsi="Times New Roman"/>
      <w:sz w:val="18"/>
    </w:rPr>
  </w:style>
  <w:style w:type="paragraph" w:customStyle="1" w:styleId="211">
    <w:name w:val="标准文件_索引项"/>
    <w:basedOn w:val="56"/>
    <w:next w:val="56"/>
    <w:qFormat/>
    <w:uiPriority w:val="0"/>
    <w:pPr>
      <w:tabs>
        <w:tab w:val="right" w:leader="dot" w:pos="9356"/>
      </w:tabs>
      <w:ind w:left="210" w:hanging="210" w:firstLineChars="0"/>
      <w:jc w:val="left"/>
    </w:pPr>
  </w:style>
  <w:style w:type="paragraph" w:customStyle="1" w:styleId="212">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6"/>
    <w:qFormat/>
    <w:uiPriority w:val="0"/>
    <w:pPr>
      <w:spacing w:before="0" w:beforeLines="0" w:after="0" w:afterLines="0" w:line="276" w:lineRule="auto"/>
    </w:pPr>
    <w:rPr>
      <w:rFonts w:ascii="宋体" w:eastAsia="宋体"/>
    </w:rPr>
  </w:style>
  <w:style w:type="paragraph" w:customStyle="1" w:styleId="219">
    <w:name w:val="标准文件_引言三级无标题"/>
    <w:basedOn w:val="203"/>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6"/>
    <w:qFormat/>
    <w:uiPriority w:val="0"/>
    <w:pPr>
      <w:spacing w:before="0" w:beforeLines="0" w:after="0" w:afterLines="0" w:line="276" w:lineRule="auto"/>
    </w:pPr>
    <w:rPr>
      <w:rFonts w:ascii="宋体" w:eastAsia="宋体"/>
    </w:rPr>
  </w:style>
  <w:style w:type="paragraph" w:customStyle="1" w:styleId="222">
    <w:name w:val="标准文件_索引标题"/>
    <w:basedOn w:val="63"/>
    <w:next w:val="56"/>
    <w:qFormat/>
    <w:uiPriority w:val="0"/>
    <w:rPr>
      <w:rFonts w:hAnsi="黑体"/>
    </w:rPr>
  </w:style>
  <w:style w:type="paragraph" w:customStyle="1" w:styleId="223">
    <w:name w:val="标准文件_脚注内容"/>
    <w:basedOn w:val="56"/>
    <w:qFormat/>
    <w:uiPriority w:val="0"/>
    <w:pPr>
      <w:ind w:left="400" w:leftChars="200" w:hanging="200" w:hangingChars="200"/>
    </w:pPr>
    <w:rPr>
      <w:sz w:val="15"/>
    </w:rPr>
  </w:style>
  <w:style w:type="paragraph" w:customStyle="1" w:styleId="224">
    <w:name w:val="标准文件_术语条一"/>
    <w:basedOn w:val="163"/>
    <w:next w:val="56"/>
    <w:qFormat/>
    <w:uiPriority w:val="0"/>
  </w:style>
  <w:style w:type="paragraph" w:customStyle="1" w:styleId="225">
    <w:name w:val="标准文件_术语条二"/>
    <w:basedOn w:val="166"/>
    <w:next w:val="56"/>
    <w:qFormat/>
    <w:uiPriority w:val="0"/>
  </w:style>
  <w:style w:type="paragraph" w:customStyle="1" w:styleId="226">
    <w:name w:val="标准文件_术语条三"/>
    <w:basedOn w:val="165"/>
    <w:next w:val="56"/>
    <w:qFormat/>
    <w:uiPriority w:val="0"/>
  </w:style>
  <w:style w:type="paragraph" w:customStyle="1" w:styleId="227">
    <w:name w:val="标准文件_术语条四"/>
    <w:basedOn w:val="168"/>
    <w:next w:val="56"/>
    <w:qFormat/>
    <w:uiPriority w:val="0"/>
  </w:style>
  <w:style w:type="paragraph" w:customStyle="1" w:styleId="228">
    <w:name w:val="标准文件_术语条五"/>
    <w:basedOn w:val="164"/>
    <w:next w:val="56"/>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8"/>
    <w:qFormat/>
    <w:uiPriority w:val="0"/>
    <w:rPr>
      <w:rFonts w:ascii="黑体" w:eastAsia="黑体"/>
      <w:spacing w:val="85"/>
      <w:w w:val="100"/>
      <w:position w:val="3"/>
      <w:sz w:val="28"/>
      <w:szCs w:val="28"/>
    </w:rPr>
  </w:style>
  <w:style w:type="paragraph" w:customStyle="1" w:styleId="231">
    <w:name w:val="段"/>
    <w:basedOn w:val="1"/>
    <w:qFormat/>
    <w:uiPriority w:val="0"/>
    <w:pPr>
      <w:spacing w:line="240" w:lineRule="auto"/>
      <w:ind w:firstLine="420" w:firstLineChars="200"/>
    </w:pPr>
    <w:rPr>
      <w:rFonts w:ascii="Times New Roman" w:hAnsi="Times New Roman"/>
    </w:rPr>
  </w:style>
  <w:style w:type="paragraph" w:customStyle="1" w:styleId="232">
    <w:name w:val="一级条标题"/>
    <w:basedOn w:val="105"/>
    <w:next w:val="231"/>
    <w:qFormat/>
    <w:uiPriority w:val="0"/>
    <w:pPr>
      <w:spacing w:before="156" w:beforeLines="50" w:after="156" w:afterLines="50"/>
    </w:pPr>
    <w:rPr>
      <w:rFonts w:ascii="Times New Roman"/>
    </w:rPr>
  </w:style>
  <w:style w:type="paragraph" w:customStyle="1" w:styleId="233">
    <w:name w:val="章标题"/>
    <w:basedOn w:val="106"/>
    <w:next w:val="231"/>
    <w:qFormat/>
    <w:uiPriority w:val="0"/>
    <w:pPr>
      <w:spacing w:before="312" w:beforeLines="100" w:after="312" w:afterLines="100"/>
    </w:pPr>
    <w:rPr>
      <w:rFonts w:ascii="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B3BEDB4F2724F9D81F4444A5CCE266D"/>
        <w:style w:val=""/>
        <w:category>
          <w:name w:val="常规"/>
          <w:gallery w:val="placeholder"/>
        </w:category>
        <w:types>
          <w:type w:val="bbPlcHdr"/>
        </w:types>
        <w:behaviors>
          <w:behavior w:val="content"/>
        </w:behaviors>
        <w:description w:val=""/>
        <w:guid w:val="{9A791DFB-56F6-4B85-997E-8EF3CEE1C2DA}"/>
      </w:docPartPr>
      <w:docPartBody>
        <w:p w14:paraId="39CA2ECC">
          <w:pPr>
            <w:pStyle w:val="5"/>
          </w:pPr>
          <w:r>
            <w:rPr>
              <w:rStyle w:val="4"/>
              <w:rFonts w:hint="eastAsia"/>
            </w:rPr>
            <w:t>单击或点击此处输入文字。</w:t>
          </w:r>
        </w:p>
      </w:docPartBody>
    </w:docPart>
    <w:docPart>
      <w:docPartPr>
        <w:name w:val="78956B8278AF41489B4C226600D2E8C4"/>
        <w:style w:val=""/>
        <w:category>
          <w:name w:val="常规"/>
          <w:gallery w:val="placeholder"/>
        </w:category>
        <w:types>
          <w:type w:val="bbPlcHdr"/>
        </w:types>
        <w:behaviors>
          <w:behavior w:val="content"/>
        </w:behaviors>
        <w:description w:val=""/>
        <w:guid w:val="{35D7B9DB-82B3-43EC-9478-2F4253E62990}"/>
      </w:docPartPr>
      <w:docPartBody>
        <w:p w14:paraId="6035BA64">
          <w:pPr>
            <w:pStyle w:val="6"/>
          </w:pPr>
          <w:r>
            <w:rPr>
              <w:rStyle w:val="4"/>
              <w:rFonts w:hint="eastAsia"/>
            </w:rPr>
            <w:t>选择一项。</w:t>
          </w:r>
        </w:p>
      </w:docPartBody>
    </w:docPart>
    <w:docPart>
      <w:docPartPr>
        <w:name w:val="DD487E154D8B46B1811108614A11313A"/>
        <w:style w:val=""/>
        <w:category>
          <w:name w:val="常规"/>
          <w:gallery w:val="placeholder"/>
        </w:category>
        <w:types>
          <w:type w:val="bbPlcHdr"/>
        </w:types>
        <w:behaviors>
          <w:behavior w:val="content"/>
        </w:behaviors>
        <w:description w:val=""/>
        <w:guid w:val="{BDA84726-025B-4CC9-AFA0-B8C5A34685AA}"/>
      </w:docPartPr>
      <w:docPartBody>
        <w:p w14:paraId="3DECA57F">
          <w:pPr>
            <w:pStyle w:val="7"/>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0EA"/>
    <w:rsid w:val="005D70EA"/>
    <w:rsid w:val="006E2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9B3BEDB4F2724F9D81F4444A5CCE266D"/>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78956B8278AF41489B4C226600D2E8C4"/>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DD487E154D8B46B1811108614A11313A"/>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datastoreItem>
</file>

<file path=docProps/app.xml><?xml version="1.0" encoding="utf-8"?>
<Properties xmlns="http://schemas.openxmlformats.org/officeDocument/2006/extended-properties" xmlns:vt="http://schemas.openxmlformats.org/officeDocument/2006/docPropsVTypes">
  <Template>团体标准.dotx</Template>
  <Pages>7</Pages>
  <Words>2994</Words>
  <Characters>3519</Characters>
  <Lines>4</Lines>
  <Paragraphs>1</Paragraphs>
  <TotalTime>66</TotalTime>
  <ScaleCrop>false</ScaleCrop>
  <LinksUpToDate>false</LinksUpToDate>
  <CharactersWithSpaces>3836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2026-08-10T01:17:00Z</dcterms:created>
  <dc:creator>hch+++</dc:creator>
  <cp:lastModifiedBy>hch+++</cp:lastModifiedBy>
  <dcterms:modified xsi:type="dcterms:W3CDTF">2026-08-21T01:52:16Z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0FB9969A266447A2A42936CF5A239C4E_13</vt:lpwstr>
  </property>
  <property fmtid="{D5CDD505-2E9C-101B-9397-08002B2CF9AE}" pid="15" name="KSOTemplateDocerSaveRecord">
    <vt:lpwstr>eyJoZGlkIjoiZDM1OTlmMTA3NGFkODIzNGM2ZWMxNGM3NzNlNTc3OWQiLCJ1c2VySWQiOiIxMjMxMjc1NjI2In0=</vt:lpwstr>
  </property>
  <property fmtid="{D5CDD505-2E9C-101B-9397-08002B2CF9AE}" pid="16" name="KSOProductBuildVer">
    <vt:lpwstr>2052-12.1.0.28043</vt:lpwstr>
  </property>
</Properties>
</file>