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C0" w:rsidRDefault="00435DC0"/>
    <w:p w:rsidR="002A412C" w:rsidRDefault="002A412C"/>
    <w:p w:rsidR="002A412C" w:rsidRDefault="002A412C"/>
    <w:p w:rsidR="002A412C" w:rsidRDefault="002A412C"/>
    <w:p w:rsidR="002A412C" w:rsidRDefault="002A412C"/>
    <w:p w:rsidR="002A412C" w:rsidRDefault="002A412C"/>
    <w:p w:rsidR="002A412C" w:rsidRDefault="002A412C"/>
    <w:p w:rsidR="002A412C" w:rsidRDefault="002A412C"/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四川省品牌建设促进会团体标准</w:t>
      </w: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《地理标志产品 罗泉豆腐》</w:t>
      </w: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（征求意见稿）</w:t>
      </w: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Pr="002A412C" w:rsidRDefault="002A412C" w:rsidP="002A412C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 w:rsidRPr="002A412C">
        <w:rPr>
          <w:rFonts w:ascii="方正小标宋简体" w:eastAsia="方正小标宋简体" w:hint="eastAsia"/>
          <w:color w:val="000000"/>
          <w:sz w:val="52"/>
          <w:szCs w:val="52"/>
        </w:rPr>
        <w:t>编制说明</w:t>
      </w: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标准起草组</w:t>
      </w:r>
    </w:p>
    <w:p w:rsidR="002A412C" w:rsidRDefault="002A412C" w:rsidP="002A412C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2A412C">
        <w:rPr>
          <w:rFonts w:ascii="方正小标宋简体" w:eastAsia="方正小标宋简体" w:hint="eastAsia"/>
          <w:color w:val="000000"/>
          <w:sz w:val="32"/>
          <w:szCs w:val="32"/>
        </w:rPr>
        <w:t>2025年1</w:t>
      </w:r>
      <w:r w:rsidR="0090408E">
        <w:rPr>
          <w:rFonts w:ascii="方正小标宋简体" w:eastAsia="方正小标宋简体" w:hint="eastAsia"/>
          <w:color w:val="000000"/>
          <w:sz w:val="32"/>
          <w:szCs w:val="32"/>
        </w:rPr>
        <w:t>1</w:t>
      </w:r>
      <w:r w:rsidRPr="002A412C">
        <w:rPr>
          <w:rFonts w:ascii="方正小标宋简体" w:eastAsia="方正小标宋简体" w:hint="eastAsia"/>
          <w:color w:val="000000"/>
          <w:sz w:val="32"/>
          <w:szCs w:val="32"/>
        </w:rPr>
        <w:t>月</w:t>
      </w:r>
    </w:p>
    <w:p w:rsidR="00C348BC" w:rsidRDefault="00C348BC" w:rsidP="002A412C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44"/>
          <w:szCs w:val="44"/>
          <w:lang w:val="zh-CN"/>
        </w:rPr>
        <w:id w:val="26428132"/>
        <w:docPartObj>
          <w:docPartGallery w:val="Table of Contents"/>
          <w:docPartUnique/>
        </w:docPartObj>
      </w:sdtPr>
      <w:sdtEndPr>
        <w:rPr>
          <w:sz w:val="28"/>
          <w:szCs w:val="28"/>
          <w:lang w:val="en-US"/>
        </w:rPr>
      </w:sdtEndPr>
      <w:sdtContent>
        <w:p w:rsidR="00A76D43" w:rsidRPr="00A76D43" w:rsidRDefault="00A76D43" w:rsidP="00A76D43">
          <w:pPr>
            <w:pStyle w:val="TOC"/>
            <w:jc w:val="center"/>
            <w:rPr>
              <w:sz w:val="44"/>
              <w:szCs w:val="44"/>
            </w:rPr>
          </w:pPr>
          <w:r w:rsidRPr="00A76D43">
            <w:rPr>
              <w:sz w:val="44"/>
              <w:szCs w:val="44"/>
              <w:lang w:val="zh-CN"/>
            </w:rPr>
            <w:t>目录</w:t>
          </w:r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r w:rsidRPr="00A76D43">
            <w:rPr>
              <w:sz w:val="28"/>
              <w:szCs w:val="28"/>
            </w:rPr>
            <w:fldChar w:fldCharType="begin"/>
          </w:r>
          <w:r w:rsidR="00A76D43" w:rsidRPr="00A76D43">
            <w:rPr>
              <w:sz w:val="28"/>
              <w:szCs w:val="28"/>
            </w:rPr>
            <w:instrText xml:space="preserve"> TOC \o "1-3" \h \z \u </w:instrText>
          </w:r>
          <w:r w:rsidRPr="00A76D43">
            <w:rPr>
              <w:sz w:val="28"/>
              <w:szCs w:val="28"/>
            </w:rPr>
            <w:fldChar w:fldCharType="separate"/>
          </w:r>
          <w:hyperlink w:anchor="_Toc212732427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一、标准制定的背景及意义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_Toc212732427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2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28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二、任务来源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_Toc212732428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3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29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三、工作简况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_Toc212732429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4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0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（一）成立标准起草组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_Toc212732430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4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1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（二）开展调研和资料收集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_Toc212732431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4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2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（三）形成工作组讨论稿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_Toc212732432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4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3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（四）形成征求意见稿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_Toc212732433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4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4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四、编制原则和依据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_Toc212732434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5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5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（一）标准编制原则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_Toc212732435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5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6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（二）标准编制依据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_Toc212732436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6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7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五、标准框架和内容说明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_Toc212732437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6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8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（一）标准的结构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_Toc212732438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6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2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39" w:history="1">
            <w:r w:rsidR="00A76D43" w:rsidRPr="00A76D43">
              <w:rPr>
                <w:rStyle w:val="a6"/>
                <w:rFonts w:ascii="楷体_GB2312" w:eastAsia="楷体_GB2312" w:hint="eastAsia"/>
                <w:noProof/>
                <w:sz w:val="28"/>
                <w:szCs w:val="28"/>
              </w:rPr>
              <w:t>（二）标准的内容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_Toc212732439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6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0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六、重大意见分歧的处理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_Toc212732440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1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七、采用国际标准情况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_Toc212732441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2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八、与现行法律法规和强制性标准的关系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_Toc212732442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3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九、贯彻标准的措施建议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_Toc212732443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4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十、涉及专利的有关说明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_Toc212732444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Pr="00A76D43" w:rsidRDefault="007355EF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12732445" w:history="1">
            <w:r w:rsidR="00A76D43" w:rsidRPr="00A76D43">
              <w:rPr>
                <w:rStyle w:val="a6"/>
                <w:rFonts w:ascii="黑体" w:eastAsia="黑体" w:hint="eastAsia"/>
                <w:noProof/>
                <w:sz w:val="28"/>
                <w:szCs w:val="28"/>
              </w:rPr>
              <w:t>十一、预期社会效益</w:t>
            </w:r>
            <w:r w:rsidR="00A76D43" w:rsidRPr="00A76D43">
              <w:rPr>
                <w:noProof/>
                <w:webHidden/>
                <w:sz w:val="28"/>
                <w:szCs w:val="28"/>
              </w:rPr>
              <w:tab/>
            </w:r>
            <w:r w:rsidRPr="00A76D43">
              <w:rPr>
                <w:noProof/>
                <w:webHidden/>
                <w:sz w:val="28"/>
                <w:szCs w:val="28"/>
              </w:rPr>
              <w:fldChar w:fldCharType="begin"/>
            </w:r>
            <w:r w:rsidR="00A76D43" w:rsidRPr="00A76D43">
              <w:rPr>
                <w:noProof/>
                <w:webHidden/>
                <w:sz w:val="28"/>
                <w:szCs w:val="28"/>
              </w:rPr>
              <w:instrText xml:space="preserve"> PAGEREF _Toc212732445 \h </w:instrText>
            </w:r>
            <w:r w:rsidRPr="00A76D43">
              <w:rPr>
                <w:noProof/>
                <w:webHidden/>
                <w:sz w:val="28"/>
                <w:szCs w:val="28"/>
              </w:rPr>
            </w:r>
            <w:r w:rsidRPr="00A76D4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D4211">
              <w:rPr>
                <w:noProof/>
                <w:webHidden/>
                <w:sz w:val="28"/>
                <w:szCs w:val="28"/>
              </w:rPr>
              <w:t>9</w:t>
            </w:r>
            <w:r w:rsidRPr="00A76D4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6D43" w:rsidRDefault="007355EF">
          <w:r w:rsidRPr="00A76D43">
            <w:rPr>
              <w:sz w:val="28"/>
              <w:szCs w:val="28"/>
            </w:rPr>
            <w:fldChar w:fldCharType="end"/>
          </w:r>
        </w:p>
      </w:sdtContent>
    </w:sdt>
    <w:p w:rsidR="00A76D43" w:rsidRDefault="00A76D43" w:rsidP="00C348B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C348BC" w:rsidRDefault="00C348BC" w:rsidP="00C348B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四川省品牌建设促进会团体标准</w:t>
      </w:r>
    </w:p>
    <w:p w:rsidR="00C348BC" w:rsidRDefault="00C348BC" w:rsidP="00C348B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《地理标志产品 罗泉豆腐》（征求意见稿）编制说明</w:t>
      </w:r>
    </w:p>
    <w:p w:rsidR="00C348BC" w:rsidRDefault="00C348BC" w:rsidP="00C348B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9A691B" w:rsidRPr="007D4C2E" w:rsidRDefault="004F6131" w:rsidP="004F6131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0" w:name="_Toc212732427"/>
      <w:r w:rsidR="00C348BC" w:rsidRPr="009A691B">
        <w:rPr>
          <w:rFonts w:ascii="黑体" w:eastAsia="黑体" w:hint="eastAsia"/>
          <w:b w:val="0"/>
          <w:sz w:val="32"/>
          <w:szCs w:val="32"/>
        </w:rPr>
        <w:t>一、标准制定的背景及意义</w:t>
      </w:r>
      <w:bookmarkEnd w:id="0"/>
    </w:p>
    <w:p w:rsidR="00C348BC" w:rsidRPr="009A691B" w:rsidRDefault="009A691B" w:rsidP="009A691B">
      <w:pPr>
        <w:widowControl/>
        <w:spacing w:line="594" w:lineRule="exac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 xml:space="preserve">   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罗泉豆腐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，是内江市资中县罗泉镇的著名特产，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拥有逾三百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多年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的历史，清康熙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年间由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安徽传至湖南的豆腐制作工艺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与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四川罗泉当地的制作工艺相结合，形成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了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独具特色的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“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罗泉豆腐制作工艺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”。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罗泉豆腐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采用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溶洞深层优质泉水浸泡大豆，经手工石磨细细研磨，并采用传统的工艺用卤水点制而成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其产品呈乳白色或淡黄色、有光泽、具有盐卤豆腐特有的豆香味，口感细腻鲜嫩，有弹性；块型完整，久煮不散；具有细、白、嫩、绵的特点。罗泉豆腐加以辅料可烹调出麻、辣、烫的豆腐佳肴，如口袋豆腐、鲶鱼豆腐、豆腐包子，罗泉人还将豆腐制成风味独特、便于携带的豆腐干、豆腐乳等作为地方旅游特产深受喜爱，早在明清年代就已成为巴蜀一绝。</w:t>
      </w:r>
      <w:r w:rsidR="000F4BD5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随着现代旅游业的发展，其产品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远销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成都、北京、上海、新疆等地甚至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销往</w:t>
      </w:r>
      <w:r w:rsidR="0031490C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韩国、日本等国家</w:t>
      </w:r>
      <w:r w:rsidR="0031490C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，品牌影响力持续扩大。</w:t>
      </w:r>
      <w:r w:rsidR="000F4BD5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其相关产业为当地提供了就业岗位500余个，吸纳农村剩余劳动力2000余人，年产值达6000万以上，促进了罗泉农民增收和社会经济的发展。</w:t>
      </w:r>
    </w:p>
    <w:p w:rsidR="0074296D" w:rsidRPr="009A691B" w:rsidRDefault="00850925" w:rsidP="009A691B">
      <w:pPr>
        <w:widowControl/>
        <w:spacing w:line="594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2012年,根据原国家质量监督</w:t>
      </w:r>
      <w:r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检验检疫总局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《关于批准对</w:t>
      </w:r>
      <w:r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庙南粉葛、罗泉豆腐、大方圆珠半夏、龙里刺梨、鸭溪窖酒实施地理标志产品保护的公告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》（2012年第102</w:t>
      </w:r>
      <w:r w:rsidR="006A1DC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号）的要求，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罗泉豆腐地理标志保护产品</w:t>
      </w:r>
      <w:r w:rsidR="006A1DC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获得批准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="006A1DC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明确了罗泉豆腐的保护范围为四川省资中县罗泉镇</w:t>
      </w:r>
      <w:r w:rsidR="006A1DC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现辖行政区域。</w:t>
      </w:r>
      <w:r w:rsidR="008B0DD0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但获批后，一直未制定相关质量标准，导致罗泉豆腐</w:t>
      </w:r>
      <w:r w:rsidR="008B0DD0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面临品质稳定性与品牌保护的双重挑战</w:t>
      </w:r>
      <w:r w:rsidR="006153C8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，表现在：</w:t>
      </w:r>
      <w:r w:rsidR="006153C8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原料（大豆、水源）来源标准不一，难以保证罗泉豆腐独特的质地与豆香；缺乏统一的感官与理化指标，市场产品良莠不齐，消费者辨识困难，品牌信誉受损。按照《食品安全国家标准》等通用要求，无法体现其地理标志产品的独特品质内涵，导致正宗罗泉豆腐的市场竞争力与附加值未能充分释放。</w:t>
      </w:r>
    </w:p>
    <w:p w:rsidR="0074296D" w:rsidRPr="009A691B" w:rsidRDefault="0074296D" w:rsidP="009A691B">
      <w:pPr>
        <w:widowControl/>
        <w:spacing w:line="594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为了使地理标志产品罗泉豆腐这一具有传统</w:t>
      </w:r>
      <w:r w:rsidR="002F5116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优势的产品保持优良的品质，并得到完整的传承和有效的保护，</w:t>
      </w:r>
      <w:r w:rsidR="00987201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需要通过标准的方式对罗泉豆腐生产技术要求、产品质量要求、试验方法等指标进</w:t>
      </w:r>
      <w:r w:rsidR="00EB00CF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行规范。</w:t>
      </w:r>
      <w:r w:rsidR="002F5116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按照《地理标志产品保护规定》的规定，地理标志产品</w:t>
      </w:r>
      <w:r w:rsidR="00987201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也</w:t>
      </w:r>
      <w:r w:rsidR="002F5116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应有对应的标准，因此特制定《地理标志产品 罗泉豆腐》团体标准。</w:t>
      </w:r>
    </w:p>
    <w:p w:rsidR="005723E4" w:rsidRPr="009A691B" w:rsidRDefault="00EB00CF" w:rsidP="009A691B">
      <w:pPr>
        <w:widowControl/>
        <w:spacing w:line="594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制定团体标准《地理标志产品 罗泉豆腐》</w:t>
      </w:r>
      <w:r w:rsidR="007635EF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不仅为罗泉豆腐的制作、质量把控提供技术依据，更是</w:t>
      </w:r>
      <w:r w:rsidR="005723E4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是对</w:t>
      </w:r>
      <w:r w:rsidR="005723E4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“</w:t>
      </w:r>
      <w:r w:rsidR="005723E4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罗泉豆腐制作技艺</w:t>
      </w:r>
      <w:r w:rsidR="005723E4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”</w:t>
      </w:r>
      <w:r w:rsidR="005723E4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这一省级非物质文化遗产进行活态保护与科学传承的关键举措</w:t>
      </w:r>
      <w:r w:rsidR="005723E4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，对于保护当地特色产品</w:t>
      </w:r>
      <w:r w:rsidR="007635EF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="007635EF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带动从大豆种植、食品加工到文旅融合的全产业链发展，</w:t>
      </w:r>
      <w:r w:rsidR="005723E4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规范市场秩序，</w:t>
      </w:r>
      <w:r w:rsidR="009A691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树立地方特色品牌</w:t>
      </w:r>
      <w:r w:rsid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="007635EF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提升产品附加值与市场竞争</w:t>
      </w:r>
      <w:r w:rsid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力</w:t>
      </w:r>
      <w:r w:rsidR="009A691B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，都将起到积极推动作用。</w:t>
      </w:r>
    </w:p>
    <w:p w:rsidR="00EB00CF" w:rsidRDefault="004F6131" w:rsidP="004F6131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1" w:name="_Toc212732428"/>
      <w:r w:rsidR="00D55E06" w:rsidRPr="00BD4A9E">
        <w:rPr>
          <w:rFonts w:ascii="黑体" w:eastAsia="黑体" w:hint="eastAsia"/>
          <w:b w:val="0"/>
          <w:sz w:val="32"/>
          <w:szCs w:val="32"/>
        </w:rPr>
        <w:t>二、任务来源</w:t>
      </w:r>
      <w:bookmarkEnd w:id="1"/>
    </w:p>
    <w:p w:rsidR="00BD4A9E" w:rsidRPr="00BD4A9E" w:rsidRDefault="00980FA2" w:rsidP="00980FA2">
      <w:pPr>
        <w:widowControl/>
        <w:spacing w:line="594" w:lineRule="exact"/>
        <w:ind w:firstLineChars="200" w:firstLine="420"/>
      </w:pPr>
      <w:r>
        <w:rPr>
          <w:rFonts w:hint="eastAsia"/>
        </w:rPr>
        <w:t xml:space="preserve"> 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本标准由资中县罗泉豆腐协会提出，向四川省品牌建设促进会申请团体标准立项，项目名称为《地理标志产品 罗泉豆腐》，项目计划于2025年底完成。2025年10月</w:t>
      </w:r>
      <w:r w:rsidR="006E54DD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四川省品牌建设促进会</w:t>
      </w:r>
      <w:r w:rsidR="006E54DD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下发《关于&lt;地理标准产品 罗泉豆腐&gt;团体标准项目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立项</w:t>
      </w:r>
      <w:r w:rsidR="006E54DD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的通知</w:t>
      </w:r>
      <w:r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》（川品会</w:t>
      </w:r>
      <w:r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〔2025〕18号）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批准了《地理标志产品 罗泉豆腐》的团体标准项目制定计划。项目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由资中县罗泉豆腐协会、资中县市场监督管理局、资中县人民政府、罗泉镇人民政府</w:t>
      </w:r>
      <w:r w:rsidR="00B90AC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</w:t>
      </w:r>
      <w:r w:rsidR="00B90AC2" w:rsidRPr="00B90AC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四川省品牌建设促进会</w:t>
      </w:r>
      <w:r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共同起草</w:t>
      </w:r>
      <w:r w:rsidR="00BD4A9E"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:rsidR="00D55E06" w:rsidRPr="00BD4A9E" w:rsidRDefault="004F6131" w:rsidP="004F6131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2" w:name="_Toc212732429"/>
      <w:r w:rsidR="00D55E06" w:rsidRPr="00BD4A9E">
        <w:rPr>
          <w:rFonts w:ascii="黑体" w:eastAsia="黑体" w:hint="eastAsia"/>
          <w:b w:val="0"/>
          <w:sz w:val="32"/>
          <w:szCs w:val="32"/>
        </w:rPr>
        <w:t>三、工作简况</w:t>
      </w:r>
      <w:bookmarkEnd w:id="2"/>
    </w:p>
    <w:p w:rsidR="00D55E06" w:rsidRDefault="004F6131" w:rsidP="004F6131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 </w:t>
      </w:r>
      <w:bookmarkStart w:id="3" w:name="_Toc212732430"/>
      <w:r w:rsidR="00D55E06" w:rsidRPr="00BD4A9E">
        <w:rPr>
          <w:rFonts w:ascii="楷体_GB2312" w:eastAsia="楷体_GB2312" w:hint="eastAsia"/>
          <w:b w:val="0"/>
        </w:rPr>
        <w:t>（一）成立标准起草组</w:t>
      </w:r>
      <w:bookmarkEnd w:id="3"/>
    </w:p>
    <w:p w:rsidR="00B90AC2" w:rsidRPr="00B90AC2" w:rsidRDefault="00B90AC2" w:rsidP="00B90AC2"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98664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2025年5月，</w:t>
      </w:r>
      <w:r w:rsidRPr="00980FA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资中县罗泉豆腐协会、资中县市场监督管理局、资中县人民政府、罗泉镇人民政府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联合成立标准起草组，明确总体思路和工作目标，明确标准编制工作时间进度，落实各单位、人员的具体任务分工，责任到人。</w:t>
      </w:r>
    </w:p>
    <w:p w:rsidR="00D55E06" w:rsidRDefault="004F6131" w:rsidP="004F6131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 </w:t>
      </w:r>
      <w:bookmarkStart w:id="4" w:name="_Toc212732431"/>
      <w:r w:rsidR="00D55E06" w:rsidRPr="00BD4A9E">
        <w:rPr>
          <w:rFonts w:ascii="楷体_GB2312" w:eastAsia="楷体_GB2312" w:hint="eastAsia"/>
          <w:b w:val="0"/>
        </w:rPr>
        <w:t>（二）</w:t>
      </w:r>
      <w:r w:rsidR="00B90AC2">
        <w:rPr>
          <w:rFonts w:ascii="楷体_GB2312" w:eastAsia="楷体_GB2312" w:hint="eastAsia"/>
          <w:b w:val="0"/>
        </w:rPr>
        <w:t>开展</w:t>
      </w:r>
      <w:r w:rsidR="00D55E06" w:rsidRPr="00BD4A9E">
        <w:rPr>
          <w:rFonts w:ascii="楷体_GB2312" w:eastAsia="楷体_GB2312" w:hint="eastAsia"/>
          <w:b w:val="0"/>
        </w:rPr>
        <w:t>调研</w:t>
      </w:r>
      <w:r w:rsidR="00B90AC2">
        <w:rPr>
          <w:rFonts w:ascii="楷体_GB2312" w:eastAsia="楷体_GB2312" w:hint="eastAsia"/>
          <w:b w:val="0"/>
        </w:rPr>
        <w:t>和资料收集</w:t>
      </w:r>
      <w:bookmarkEnd w:id="4"/>
    </w:p>
    <w:p w:rsidR="00B90AC2" w:rsidRPr="00B90AC2" w:rsidRDefault="004F6131" w:rsidP="00B90AC2">
      <w:r>
        <w:rPr>
          <w:rFonts w:hint="eastAsia"/>
        </w:rPr>
        <w:t xml:space="preserve">     </w:t>
      </w:r>
      <w:r w:rsidR="0098664A" w:rsidRPr="0098664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2025年6月，</w:t>
      </w:r>
      <w:r w:rsidR="00652BDA" w:rsidRPr="004F6131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为保证本团体标准编制的科学性、真实性、可行性，标准起草组前往资中县开展实地调研，了解掌握罗泉豆腐的感官特征、质量指标及生产工艺，在此基础上，线上线下广泛检索、收集、整理有关罗泉豆腐的</w:t>
      </w:r>
      <w:r w:rsidRPr="004F6131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生产技术要求、产品指标的资料，并抽取部分样品进行指标检测，为下一步团体标准编制做好筹备工作。</w:t>
      </w:r>
    </w:p>
    <w:p w:rsidR="00D55E06" w:rsidRDefault="004F6131" w:rsidP="004F6131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 </w:t>
      </w:r>
      <w:bookmarkStart w:id="5" w:name="_Toc212732432"/>
      <w:r w:rsidR="00D55E06" w:rsidRPr="00BD4A9E">
        <w:rPr>
          <w:rFonts w:ascii="楷体_GB2312" w:eastAsia="楷体_GB2312" w:hint="eastAsia"/>
          <w:b w:val="0"/>
        </w:rPr>
        <w:t>（三）</w:t>
      </w:r>
      <w:r w:rsidR="0098664A">
        <w:rPr>
          <w:rFonts w:ascii="楷体_GB2312" w:eastAsia="楷体_GB2312" w:hint="eastAsia"/>
          <w:b w:val="0"/>
        </w:rPr>
        <w:t>形成工作组讨论</w:t>
      </w:r>
      <w:r w:rsidR="00D55E06" w:rsidRPr="00BD4A9E">
        <w:rPr>
          <w:rFonts w:ascii="楷体_GB2312" w:eastAsia="楷体_GB2312" w:hint="eastAsia"/>
          <w:b w:val="0"/>
        </w:rPr>
        <w:t>稿</w:t>
      </w:r>
      <w:bookmarkEnd w:id="5"/>
    </w:p>
    <w:p w:rsidR="0098664A" w:rsidRPr="0098664A" w:rsidRDefault="0098664A" w:rsidP="0098664A"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98664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2025年7</w:t>
      </w:r>
      <w:r w:rsidR="00A106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—10</w:t>
      </w:r>
      <w:r w:rsidRPr="0098664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月，标准起草组对前期工作资料进行整理、分析、总结，经过标准起草组内部多次研究和讨论，完成了《地理标志产品 罗泉豆腐》团体标准工作组讨论稿。</w:t>
      </w:r>
    </w:p>
    <w:p w:rsidR="004F6131" w:rsidRDefault="00A1068B" w:rsidP="00A1068B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 </w:t>
      </w:r>
      <w:bookmarkStart w:id="6" w:name="_Toc212732433"/>
      <w:r w:rsidRPr="00A1068B">
        <w:rPr>
          <w:rFonts w:ascii="楷体_GB2312" w:eastAsia="楷体_GB2312" w:hint="eastAsia"/>
          <w:b w:val="0"/>
        </w:rPr>
        <w:t>（四）形成征求意见稿</w:t>
      </w:r>
      <w:bookmarkEnd w:id="6"/>
    </w:p>
    <w:p w:rsidR="00A1068B" w:rsidRPr="00A1068B" w:rsidRDefault="00A1068B" w:rsidP="00A1068B">
      <w:r>
        <w:rPr>
          <w:rFonts w:hint="eastAsia"/>
        </w:rPr>
        <w:t xml:space="preserve">  </w:t>
      </w:r>
      <w:r w:rsidRPr="00A106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组织行业、标准化专家开展标准研讨会，在充分听取专家意见、建议的基础上，标准起草组对标准工作组讨论稿进行了修改完善，形</w:t>
      </w:r>
      <w:r w:rsidRPr="00A106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成了标准征求意见稿。</w:t>
      </w:r>
    </w:p>
    <w:p w:rsidR="00D55E06" w:rsidRPr="00BD4A9E" w:rsidRDefault="00D55E06" w:rsidP="00BD4A9E">
      <w:pPr>
        <w:pStyle w:val="1"/>
        <w:spacing w:before="0" w:after="0" w:line="594" w:lineRule="exact"/>
        <w:ind w:firstLineChars="200" w:firstLine="640"/>
        <w:rPr>
          <w:rFonts w:ascii="黑体" w:eastAsia="黑体"/>
          <w:b w:val="0"/>
          <w:sz w:val="32"/>
          <w:szCs w:val="32"/>
        </w:rPr>
      </w:pPr>
      <w:bookmarkStart w:id="7" w:name="_Toc212732434"/>
      <w:r w:rsidRPr="00BD4A9E">
        <w:rPr>
          <w:rFonts w:ascii="黑体" w:eastAsia="黑体" w:hint="eastAsia"/>
          <w:b w:val="0"/>
          <w:sz w:val="32"/>
          <w:szCs w:val="32"/>
        </w:rPr>
        <w:t>四、编制原则和依据</w:t>
      </w:r>
      <w:bookmarkEnd w:id="7"/>
    </w:p>
    <w:p w:rsidR="00D55E06" w:rsidRDefault="00001CD9" w:rsidP="00001CD9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 </w:t>
      </w:r>
      <w:bookmarkStart w:id="8" w:name="_Toc212732435"/>
      <w:r w:rsidR="00D55E06" w:rsidRPr="00BD4A9E">
        <w:rPr>
          <w:rFonts w:ascii="楷体_GB2312" w:eastAsia="楷体_GB2312" w:hint="eastAsia"/>
          <w:b w:val="0"/>
        </w:rPr>
        <w:t>（一）标准编制原则</w:t>
      </w:r>
      <w:bookmarkEnd w:id="8"/>
    </w:p>
    <w:p w:rsidR="00A1068B" w:rsidRDefault="00001CD9" w:rsidP="00A1068B">
      <w:r>
        <w:rPr>
          <w:rFonts w:hint="eastAsia"/>
        </w:rPr>
        <w:t xml:space="preserve">      </w:t>
      </w:r>
      <w:r w:rsidR="00A1068B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本标准的编制主要遵循了统一性、协调性、</w:t>
      </w:r>
      <w:r w:rsidR="006D4FB8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符合</w:t>
      </w:r>
      <w:r w:rsidR="00A1068B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性原则。</w:t>
      </w:r>
    </w:p>
    <w:p w:rsidR="00E55A3C" w:rsidRPr="00E55A3C" w:rsidRDefault="00A1068B" w:rsidP="00A1068B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 w:rsidR="006D4FB8" w:rsidRPr="006D4FB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1.</w:t>
      </w:r>
      <w:r w:rsidRPr="006D4FB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统一性</w:t>
      </w:r>
      <w:r w:rsidR="006D4FB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。</w:t>
      </w:r>
      <w:r w:rsidR="00E55A3C" w:rsidRPr="00E55A3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本标准严格按照GB/T 1.1-2020《标准化工作导则 第1部分：标准化文件的结构和起草规则》和GB/T 17924-2008《地理标志产品标准通用要求》</w:t>
      </w:r>
      <w:r w:rsidR="00E55A3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的要求</w:t>
      </w:r>
      <w:r w:rsidR="00E55A3C" w:rsidRPr="00E55A3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进行编写与表述。</w:t>
      </w:r>
    </w:p>
    <w:p w:rsidR="006D4FB8" w:rsidRDefault="00001CD9" w:rsidP="00A1068B">
      <w:r>
        <w:rPr>
          <w:rFonts w:hint="eastAsia"/>
        </w:rPr>
        <w:t xml:space="preserve">      </w:t>
      </w:r>
      <w:r w:rsidR="006D4FB8" w:rsidRPr="006D4FB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2.</w:t>
      </w:r>
      <w:r w:rsidR="005A4465" w:rsidRPr="006D4FB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协调性</w:t>
      </w:r>
      <w:r w:rsidR="00354E2F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。</w:t>
      </w:r>
      <w:r w:rsidR="00E55A3C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本标准的编制严格遵守了现有相关法律法规规定，参阅了GB 2712 《食品安全国家标准 豆制品》、GB 22106 《非发酵豆制品》、GB 23494 《豆腐干》、DB 5110/T 38《地理标志产品 罗泉豆腐（干）加工技术规范》、</w:t>
      </w:r>
      <w:r w:rsidR="006D4FB8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GB 7718《食品安全国家标准 预包装食品标签通则》、GB/T 191 《</w:t>
      </w:r>
      <w:hyperlink r:id="rId7" w:tgtFrame="_blank" w:history="1">
        <w:r w:rsidR="006D4FB8" w:rsidRPr="006D4FB8">
          <w:rPr>
            <w:rFonts w:ascii="仿宋" w:eastAsia="仿宋" w:hAnsi="仿宋" w:cs="Times New Roman"/>
            <w:color w:val="000000"/>
            <w:kern w:val="0"/>
            <w:sz w:val="28"/>
            <w:szCs w:val="28"/>
          </w:rPr>
          <w:t>包装储运图形符号标志</w:t>
        </w:r>
      </w:hyperlink>
      <w:r w:rsidR="006D4FB8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》、GB 28050《食品安全国家标准 预包装食品营养标签通则》等相关国家标准、地方标准。结合罗泉豆腐生产加工实际情况，充分借鉴已有经验，并在反复论证、综合分析的基础上，按照标准不能与现行标准、相关法律法规、政策性文件等冲突的原则，标准起草时，起草小组对其进行了深入学习，确保了本标准与相关法律法规、国家、行业标准内容相协调。</w:t>
      </w:r>
      <w:r w:rsidR="005A4465" w:rsidRPr="006D4FB8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</w:t>
      </w:r>
      <w:r w:rsidR="005A4465">
        <w:rPr>
          <w:rFonts w:hint="eastAsia"/>
        </w:rPr>
        <w:t xml:space="preserve">   </w:t>
      </w:r>
    </w:p>
    <w:p w:rsidR="006D4FB8" w:rsidRPr="00354E2F" w:rsidRDefault="00354E2F" w:rsidP="00A1068B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 xml:space="preserve">   </w:t>
      </w:r>
      <w:r w:rsidR="00B25950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354E2F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3.</w:t>
      </w:r>
      <w:r w:rsidR="006D4FB8" w:rsidRPr="00354E2F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符合</w:t>
      </w:r>
      <w:r w:rsidR="005A4465" w:rsidRPr="00354E2F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性</w:t>
      </w:r>
      <w:r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。</w:t>
      </w:r>
      <w:r w:rsidR="006D4FB8" w:rsidRPr="00354E2F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按照标准内容应与</w:t>
      </w:r>
      <w:r w:rsidR="006D4FB8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原国家质量监督</w:t>
      </w:r>
      <w:r w:rsidR="006D4FB8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检验检疫总局</w:t>
      </w:r>
      <w:r w:rsidR="006D4FB8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《关于批准对</w:t>
      </w:r>
      <w:r w:rsidR="006D4FB8"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庙南粉葛、罗泉豆腐、大方圆珠半夏、龙里刺梨、鸭溪窖酒实施地理标志产品保护的公告</w:t>
      </w:r>
      <w:r w:rsidR="006D4FB8"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》（2012年第102号）</w:t>
      </w:r>
      <w:r w:rsidR="006D4FB8" w:rsidRPr="00354E2F">
        <w:rPr>
          <w:rFonts w:ascii="仿宋" w:eastAsia="仿宋" w:hAnsi="仿宋" w:cs="Times New Roman"/>
          <w:color w:val="000000"/>
          <w:kern w:val="0"/>
          <w:sz w:val="28"/>
          <w:szCs w:val="28"/>
        </w:rPr>
        <w:t>相吻合的要求，标准</w:t>
      </w:r>
      <w:r w:rsidR="006D4FB8" w:rsidRPr="00354E2F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的质量技术要求</w:t>
      </w:r>
      <w:r w:rsidR="006D4FB8" w:rsidRPr="00354E2F">
        <w:rPr>
          <w:rFonts w:ascii="仿宋" w:eastAsia="仿宋" w:hAnsi="仿宋" w:cs="Times New Roman"/>
          <w:color w:val="000000"/>
          <w:kern w:val="0"/>
          <w:sz w:val="28"/>
          <w:szCs w:val="28"/>
        </w:rPr>
        <w:t>与公示内容符合</w:t>
      </w:r>
      <w:r w:rsidR="006D4FB8" w:rsidRPr="00354E2F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一致。</w:t>
      </w:r>
    </w:p>
    <w:p w:rsidR="00D55E06" w:rsidRDefault="00D82261" w:rsidP="00D82261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/>
        </w:rPr>
        <w:lastRenderedPageBreak/>
        <w:t xml:space="preserve">   </w:t>
      </w:r>
      <w:bookmarkStart w:id="9" w:name="_Toc212732436"/>
      <w:r w:rsidR="00D55E06" w:rsidRPr="00BD4A9E">
        <w:rPr>
          <w:rFonts w:ascii="楷体_GB2312" w:eastAsia="楷体_GB2312" w:hint="eastAsia"/>
          <w:b w:val="0"/>
        </w:rPr>
        <w:t>（二）标准编制依据</w:t>
      </w:r>
      <w:bookmarkEnd w:id="9"/>
    </w:p>
    <w:p w:rsidR="00D82261" w:rsidRPr="00C3063E" w:rsidRDefault="00D82261" w:rsidP="00D82261">
      <w:pPr>
        <w:rPr>
          <w:rFonts w:ascii="仿宋" w:eastAsia="仿宋" w:hAnsi="仿宋" w:cs="仿宋_GB2312"/>
          <w:sz w:val="28"/>
          <w:szCs w:val="28"/>
        </w:rPr>
      </w:pPr>
      <w:r>
        <w:rPr>
          <w:rFonts w:hint="eastAsia"/>
        </w:rPr>
        <w:t xml:space="preserve">     </w:t>
      </w:r>
      <w:r w:rsidRPr="00C3063E">
        <w:rPr>
          <w:rFonts w:ascii="仿宋" w:eastAsia="仿宋" w:hAnsi="仿宋" w:hint="eastAsia"/>
          <w:sz w:val="28"/>
          <w:szCs w:val="28"/>
        </w:rPr>
        <w:t xml:space="preserve"> </w:t>
      </w:r>
      <w:r w:rsidRPr="00C3063E">
        <w:rPr>
          <w:rFonts w:ascii="仿宋" w:eastAsia="仿宋" w:hAnsi="仿宋" w:hint="eastAsia"/>
          <w:b/>
          <w:sz w:val="28"/>
          <w:szCs w:val="28"/>
        </w:rPr>
        <w:t>1.法律法规：</w:t>
      </w:r>
      <w:r w:rsidRPr="00C3063E">
        <w:rPr>
          <w:rFonts w:ascii="仿宋" w:eastAsia="仿宋" w:hAnsi="仿宋" w:hint="eastAsia"/>
          <w:sz w:val="28"/>
          <w:szCs w:val="28"/>
        </w:rPr>
        <w:t>以</w:t>
      </w:r>
      <w:r w:rsidRPr="00C3063E">
        <w:rPr>
          <w:rFonts w:ascii="仿宋" w:eastAsia="仿宋" w:hAnsi="仿宋" w:cs="仿宋_GB2312"/>
          <w:sz w:val="28"/>
          <w:szCs w:val="28"/>
        </w:rPr>
        <w:t>《中华人民共和国标准化法》、《中华人民共和国产品质量法》、《中华人民共和国食品安全法》</w:t>
      </w:r>
      <w:r w:rsidRPr="00C3063E">
        <w:rPr>
          <w:rFonts w:ascii="仿宋" w:eastAsia="仿宋" w:hAnsi="仿宋" w:cs="仿宋_GB2312" w:hint="eastAsia"/>
          <w:sz w:val="28"/>
          <w:szCs w:val="28"/>
        </w:rPr>
        <w:t>《中华人民共和国标准化法实施条例》、</w:t>
      </w:r>
      <w:r w:rsidRPr="00C3063E">
        <w:rPr>
          <w:rFonts w:ascii="仿宋" w:eastAsia="仿宋" w:hAnsi="仿宋" w:cs="仿宋_GB2312"/>
          <w:sz w:val="28"/>
          <w:szCs w:val="28"/>
        </w:rPr>
        <w:t>《地理标志产品保护规定》</w:t>
      </w:r>
      <w:r w:rsidRPr="00C3063E">
        <w:rPr>
          <w:rFonts w:ascii="仿宋" w:eastAsia="仿宋" w:hAnsi="仿宋" w:cs="仿宋_GB2312" w:hint="eastAsia"/>
          <w:sz w:val="28"/>
          <w:szCs w:val="28"/>
        </w:rPr>
        <w:t>等国家法律法规为根本遵循</w:t>
      </w:r>
      <w:r w:rsidR="00C3063E" w:rsidRPr="00C3063E">
        <w:rPr>
          <w:rFonts w:ascii="仿宋" w:eastAsia="仿宋" w:hAnsi="仿宋" w:cs="仿宋_GB2312" w:hint="eastAsia"/>
          <w:sz w:val="28"/>
          <w:szCs w:val="28"/>
        </w:rPr>
        <w:t>。</w:t>
      </w:r>
    </w:p>
    <w:p w:rsidR="00C3063E" w:rsidRPr="00C3063E" w:rsidRDefault="00C3063E" w:rsidP="00001CD9">
      <w:pPr>
        <w:tabs>
          <w:tab w:val="left" w:pos="567"/>
        </w:tabs>
        <w:rPr>
          <w:rFonts w:ascii="仿宋" w:eastAsia="仿宋" w:hAnsi="仿宋"/>
          <w:color w:val="000000"/>
          <w:sz w:val="28"/>
          <w:szCs w:val="28"/>
        </w:rPr>
      </w:pPr>
      <w:r w:rsidRPr="00C3063E">
        <w:rPr>
          <w:rFonts w:ascii="仿宋" w:eastAsia="仿宋" w:hAnsi="仿宋" w:cs="仿宋_GB2312" w:hint="eastAsia"/>
          <w:sz w:val="28"/>
          <w:szCs w:val="28"/>
        </w:rPr>
        <w:t xml:space="preserve">   </w:t>
      </w:r>
      <w:r w:rsidR="00001CD9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Pr="00C3063E">
        <w:rPr>
          <w:rFonts w:ascii="仿宋" w:eastAsia="仿宋" w:hAnsi="仿宋" w:cs="仿宋_GB2312" w:hint="eastAsia"/>
          <w:b/>
          <w:sz w:val="28"/>
          <w:szCs w:val="28"/>
        </w:rPr>
        <w:t>2.基础标准：</w:t>
      </w:r>
      <w:r w:rsidRPr="00C3063E">
        <w:rPr>
          <w:rFonts w:ascii="仿宋" w:eastAsia="仿宋" w:hAnsi="仿宋" w:hint="eastAsia"/>
          <w:color w:val="000000"/>
          <w:sz w:val="28"/>
          <w:szCs w:val="28"/>
        </w:rPr>
        <w:t>遵循 GB/T 1.1-2020《标准化工作导则 第 1 部分：标准化文件的结构和起草规则》，规范标准的框架结构、术语表述和条文格式，确保标准的规范性与统一性。</w:t>
      </w:r>
    </w:p>
    <w:p w:rsidR="00C3063E" w:rsidRPr="00C3063E" w:rsidRDefault="00C3063E" w:rsidP="00D82261">
      <w:pPr>
        <w:rPr>
          <w:rFonts w:ascii="仿宋" w:eastAsia="仿宋" w:hAnsi="仿宋"/>
          <w:sz w:val="28"/>
          <w:szCs w:val="28"/>
        </w:rPr>
      </w:pPr>
      <w:r w:rsidRPr="00C3063E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="00001CD9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C3063E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C3063E">
        <w:rPr>
          <w:rFonts w:ascii="仿宋" w:eastAsia="仿宋" w:hAnsi="仿宋" w:hint="eastAsia"/>
          <w:b/>
          <w:color w:val="000000"/>
          <w:sz w:val="28"/>
          <w:szCs w:val="28"/>
        </w:rPr>
        <w:t>3.国标、地标:</w:t>
      </w:r>
      <w:r w:rsidRPr="00C3063E">
        <w:rPr>
          <w:rFonts w:ascii="仿宋" w:eastAsia="仿宋" w:hAnsi="仿宋" w:hint="eastAsia"/>
          <w:color w:val="000000"/>
          <w:sz w:val="28"/>
          <w:szCs w:val="28"/>
        </w:rPr>
        <w:t>参照</w:t>
      </w:r>
      <w:r w:rsidRPr="00C3063E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GB 2712 《食品安全国家标准 豆制品》、GB 22106 《非发酵豆制品》、GB 23494 《豆腐干》、DB 5110/T 38《地理标志产品 罗泉豆腐（干）加工技术规范》等现行国标、地标，在安全指标、生产加工工艺基础上，</w:t>
      </w:r>
      <w:r w:rsidRPr="00C3063E">
        <w:rPr>
          <w:rFonts w:ascii="仿宋" w:eastAsia="仿宋" w:hAnsi="仿宋" w:cs="仿宋_GB2312" w:hint="eastAsia"/>
          <w:sz w:val="28"/>
          <w:szCs w:val="28"/>
        </w:rPr>
        <w:t>结合罗泉豆腐产品质量检测的实际，</w:t>
      </w:r>
      <w:r w:rsidRPr="00C3063E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针对罗泉豆腐的特色调整了其理化指标，实现与国家地方标准体系的有效衔接。</w:t>
      </w:r>
    </w:p>
    <w:p w:rsidR="00D55E06" w:rsidRPr="00BD4A9E" w:rsidRDefault="009D41B6" w:rsidP="009D41B6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 xml:space="preserve">   </w:t>
      </w:r>
      <w:r w:rsidR="00DE6243">
        <w:rPr>
          <w:rFonts w:ascii="黑体" w:eastAsia="黑体" w:hint="eastAsia"/>
          <w:b w:val="0"/>
          <w:sz w:val="32"/>
          <w:szCs w:val="32"/>
        </w:rPr>
        <w:t xml:space="preserve"> </w:t>
      </w:r>
      <w:bookmarkStart w:id="10" w:name="_Toc212732437"/>
      <w:r w:rsidR="00D55E06" w:rsidRPr="00BD4A9E">
        <w:rPr>
          <w:rFonts w:ascii="黑体" w:eastAsia="黑体" w:hint="eastAsia"/>
          <w:b w:val="0"/>
          <w:sz w:val="32"/>
          <w:szCs w:val="32"/>
        </w:rPr>
        <w:t>五、标准框架和内容说明</w:t>
      </w:r>
      <w:bookmarkEnd w:id="10"/>
    </w:p>
    <w:p w:rsidR="00D55E06" w:rsidRDefault="009D41B6" w:rsidP="00001CD9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</w:t>
      </w:r>
      <w:r w:rsidR="00DE6243">
        <w:rPr>
          <w:rFonts w:ascii="楷体_GB2312" w:eastAsia="楷体_GB2312" w:hint="eastAsia"/>
          <w:b w:val="0"/>
        </w:rPr>
        <w:t xml:space="preserve"> </w:t>
      </w:r>
      <w:bookmarkStart w:id="11" w:name="_Toc212732438"/>
      <w:r w:rsidR="00D55E06" w:rsidRPr="00BD4A9E">
        <w:rPr>
          <w:rFonts w:ascii="楷体_GB2312" w:eastAsia="楷体_GB2312" w:hint="eastAsia"/>
          <w:b w:val="0"/>
        </w:rPr>
        <w:t>（一）标准的结构</w:t>
      </w:r>
      <w:bookmarkEnd w:id="11"/>
    </w:p>
    <w:p w:rsidR="00001CD9" w:rsidRPr="00001CD9" w:rsidRDefault="00001CD9" w:rsidP="00001CD9">
      <w:r>
        <w:rPr>
          <w:rFonts w:hint="eastAsia"/>
        </w:rPr>
        <w:t xml:space="preserve">     </w:t>
      </w:r>
      <w:r w:rsidRPr="00B54DE7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该标准共设</w:t>
      </w:r>
      <w:r w:rsidR="00B54DE7" w:rsidRPr="00B54DE7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9</w:t>
      </w:r>
      <w:r w:rsidRPr="00B54DE7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个部分，分别为：范围、规范性引用文件、术语和定义、</w:t>
      </w:r>
      <w:r w:rsidR="00B54DE7" w:rsidRPr="00B54DE7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地理标志产品保护范围、产品分类、要求、检验方法、检验规则、标签、标志、包装、运输和贮存。</w:t>
      </w:r>
    </w:p>
    <w:p w:rsidR="00D55E06" w:rsidRDefault="009D41B6" w:rsidP="00001CD9">
      <w:pPr>
        <w:pStyle w:val="2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ascii="楷体_GB2312" w:eastAsia="楷体_GB2312" w:hint="eastAsia"/>
          <w:b w:val="0"/>
        </w:rPr>
        <w:t xml:space="preserve">  </w:t>
      </w:r>
      <w:r w:rsidR="00DE6243">
        <w:rPr>
          <w:rFonts w:ascii="楷体_GB2312" w:eastAsia="楷体_GB2312" w:hint="eastAsia"/>
          <w:b w:val="0"/>
        </w:rPr>
        <w:t xml:space="preserve"> </w:t>
      </w:r>
      <w:bookmarkStart w:id="12" w:name="_Toc212732439"/>
      <w:r w:rsidR="00D55E06" w:rsidRPr="00BD4A9E">
        <w:rPr>
          <w:rFonts w:ascii="楷体_GB2312" w:eastAsia="楷体_GB2312" w:hint="eastAsia"/>
          <w:b w:val="0"/>
        </w:rPr>
        <w:t>（二）标准的内容</w:t>
      </w:r>
      <w:bookmarkEnd w:id="12"/>
    </w:p>
    <w:p w:rsidR="00B16302" w:rsidRPr="004D3BDB" w:rsidRDefault="00127EFC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</w:t>
      </w:r>
      <w:r w:rsidRPr="004D3BDB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1.范围</w:t>
      </w:r>
    </w:p>
    <w:p w:rsidR="00DE6243" w:rsidRPr="00127EFC" w:rsidRDefault="00B16302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明确标准的主要技术内容，界定了标准适用于原国家质量监督检</w:t>
      </w:r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验检疫总局2012年第102号公告批准保护的罗泉豆腐的生产和销售。</w:t>
      </w:r>
    </w:p>
    <w:p w:rsidR="00B16302" w:rsidRPr="004D3BDB" w:rsidRDefault="00B16302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127EFC" w:rsidRPr="004D3BDB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2.规范性引用文件</w:t>
      </w:r>
    </w:p>
    <w:p w:rsidR="00127EFC" w:rsidRPr="00127EFC" w:rsidRDefault="00B16302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本章严格</w:t>
      </w:r>
      <w:bookmarkStart w:id="13" w:name="OLE_LINK30"/>
      <w:bookmarkStart w:id="14" w:name="OLE_LINK31"/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按照GB/T 1.1-2020《标准化工作导则 第1部分：标准化文件的结构和起草规则》的要求</w:t>
      </w:r>
      <w:bookmarkEnd w:id="13"/>
      <w:bookmarkEnd w:id="14"/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，给出了本文件中引用的规范性文件。</w:t>
      </w:r>
    </w:p>
    <w:p w:rsidR="00B16302" w:rsidRPr="004D3BDB" w:rsidRDefault="00B16302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127EFC" w:rsidRPr="004D3BDB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3.术语和定义</w:t>
      </w:r>
    </w:p>
    <w:p w:rsidR="00127EFC" w:rsidRPr="00127EFC" w:rsidRDefault="00B16302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本章</w:t>
      </w:r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按照地理标志产品的特殊性，界定了“罗泉豆腐”的术语和定义。</w:t>
      </w:r>
    </w:p>
    <w:p w:rsidR="00B16302" w:rsidRPr="004D3BDB" w:rsidRDefault="00127EFC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4D3BDB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4.</w:t>
      </w:r>
      <w:r w:rsidR="00B16302" w:rsidRPr="004D3BDB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地理标志产品保护范围</w:t>
      </w:r>
    </w:p>
    <w:p w:rsidR="00127EFC" w:rsidRDefault="00B16302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本章</w:t>
      </w:r>
      <w:r w:rsidR="00127EFC" w:rsidRPr="00127EF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按照原国家质量监督检验检疫总局2012年第102号公告的内容，规定了地理标志产品罗泉豆腐的保护范围。</w:t>
      </w:r>
    </w:p>
    <w:p w:rsidR="004D3BDB" w:rsidRPr="00400D38" w:rsidRDefault="00127EFC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400D3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5.</w:t>
      </w:r>
      <w:r w:rsidR="004D3BDB" w:rsidRPr="00400D38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产品分类</w:t>
      </w:r>
    </w:p>
    <w:p w:rsidR="00127EFC" w:rsidRPr="00E57283" w:rsidRDefault="004D3BDB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</w:t>
      </w:r>
      <w:r w:rsidR="00E572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本章</w:t>
      </w:r>
      <w:r w:rsidR="00400D38" w:rsidRPr="00E572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根据罗泉豆腐</w:t>
      </w:r>
      <w:r w:rsidRPr="00E572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生产工艺和形态</w:t>
      </w:r>
      <w:r w:rsidR="00400D38" w:rsidRPr="00E57283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的不同，对产品进行了分类，分为鲜豆腐和豆腐干。</w:t>
      </w:r>
    </w:p>
    <w:p w:rsidR="00400D38" w:rsidRPr="00B7769C" w:rsidRDefault="00B7769C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</w:t>
      </w:r>
      <w:r w:rsidRPr="00B7769C">
        <w:rPr>
          <w:rFonts w:hint="eastAsia"/>
          <w:b/>
        </w:rPr>
        <w:t xml:space="preserve"> </w:t>
      </w:r>
      <w:r w:rsidR="00400D38" w:rsidRPr="00B7769C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6.要求</w:t>
      </w:r>
    </w:p>
    <w:p w:rsidR="00B7769C" w:rsidRPr="00B7769C" w:rsidRDefault="00B7769C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6.1原辅料</w:t>
      </w:r>
    </w:p>
    <w:p w:rsidR="00B7769C" w:rsidRDefault="00B7769C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根据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原国家质量监督</w:t>
      </w:r>
      <w:r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检验检疫总局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《关于批准对</w:t>
      </w:r>
      <w:r w:rsidRPr="009A691B">
        <w:rPr>
          <w:rFonts w:ascii="仿宋" w:eastAsia="仿宋" w:hAnsi="仿宋" w:cs="Times New Roman"/>
          <w:color w:val="000000"/>
          <w:kern w:val="0"/>
          <w:sz w:val="28"/>
          <w:szCs w:val="28"/>
        </w:rPr>
        <w:t>庙南粉葛、罗泉豆腐、大方圆珠半夏、龙里刺梨、鸭溪窖酒实施地理标志产品保护的公告</w:t>
      </w:r>
      <w:r w:rsidRPr="009A69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》（2012年第102号）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要求制定，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且符合国家相关食品质量要求。</w:t>
      </w:r>
    </w:p>
    <w:p w:rsidR="00B7769C" w:rsidRDefault="00B7769C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6.2生产加工工艺</w:t>
      </w:r>
    </w:p>
    <w:p w:rsidR="00B7769C" w:rsidRDefault="00B7769C" w:rsidP="00DE6243"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鲜豆腐和豆腐干的生产加工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均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按DB 5110/T 38—2021中第6章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lastRenderedPageBreak/>
        <w:t>的要求执行。</w:t>
      </w:r>
    </w:p>
    <w:p w:rsidR="00400D38" w:rsidRPr="00B7769C" w:rsidRDefault="00B7769C" w:rsidP="00DE6243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</w:t>
      </w:r>
      <w:r w:rsidRPr="00B7769C">
        <w:rPr>
          <w:rFonts w:ascii="仿宋" w:eastAsia="仿宋" w:hAnsi="仿宋" w:hint="eastAsia"/>
          <w:sz w:val="28"/>
          <w:szCs w:val="28"/>
        </w:rPr>
        <w:t xml:space="preserve">  6.3食品生产加工过程中卫生要求</w:t>
      </w:r>
    </w:p>
    <w:p w:rsidR="00B16302" w:rsidRPr="00B7769C" w:rsidRDefault="00B7769C" w:rsidP="00DE6243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本节直接引用</w:t>
      </w:r>
      <w:r w:rsidRPr="00B7769C">
        <w:rPr>
          <w:rFonts w:ascii="仿宋" w:eastAsia="仿宋" w:hAnsi="仿宋" w:hint="eastAsia"/>
          <w:color w:val="000000"/>
          <w:sz w:val="28"/>
          <w:szCs w:val="28"/>
        </w:rPr>
        <w:t>GB/T 29876和GB 14881。</w:t>
      </w:r>
    </w:p>
    <w:p w:rsidR="00B7769C" w:rsidRPr="00B7769C" w:rsidRDefault="00B7769C" w:rsidP="00DE6243">
      <w:pPr>
        <w:rPr>
          <w:rFonts w:ascii="仿宋" w:eastAsia="仿宋" w:hAnsi="仿宋"/>
          <w:color w:val="000000"/>
          <w:sz w:val="28"/>
          <w:szCs w:val="28"/>
        </w:rPr>
      </w:pPr>
      <w:r w:rsidRPr="00B7769C">
        <w:rPr>
          <w:rFonts w:ascii="仿宋" w:eastAsia="仿宋" w:hAnsi="仿宋" w:hint="eastAsia"/>
          <w:color w:val="000000"/>
          <w:sz w:val="28"/>
          <w:szCs w:val="28"/>
        </w:rPr>
        <w:t xml:space="preserve">    6.4质量要求</w:t>
      </w:r>
    </w:p>
    <w:p w:rsidR="00B7769C" w:rsidRDefault="00B7769C" w:rsidP="00DE6243">
      <w:pPr>
        <w:rPr>
          <w:rFonts w:ascii="仿宋" w:eastAsia="仿宋" w:hAnsi="仿宋"/>
          <w:color w:val="000000"/>
          <w:sz w:val="28"/>
          <w:szCs w:val="28"/>
        </w:rPr>
      </w:pPr>
      <w:r w:rsidRPr="00B7769C">
        <w:rPr>
          <w:rFonts w:ascii="仿宋" w:eastAsia="仿宋" w:hAnsi="仿宋" w:hint="eastAsia"/>
          <w:color w:val="000000"/>
          <w:sz w:val="28"/>
          <w:szCs w:val="28"/>
        </w:rPr>
        <w:t xml:space="preserve">    规定了罗泉豆腐的感官特征、理化指标、安全指标、食品添加剂限量以及净含量的要求。其中：感官特征、理化指标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根据原国家质量监督</w:t>
      </w:r>
      <w:r w:rsidRPr="00B7769C">
        <w:rPr>
          <w:rFonts w:ascii="仿宋" w:eastAsia="仿宋" w:hAnsi="仿宋" w:cs="Times New Roman"/>
          <w:color w:val="000000"/>
          <w:kern w:val="0"/>
          <w:sz w:val="28"/>
          <w:szCs w:val="28"/>
        </w:rPr>
        <w:t>检验检疫总局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《关于批准对</w:t>
      </w:r>
      <w:r w:rsidRPr="00B7769C">
        <w:rPr>
          <w:rFonts w:ascii="仿宋" w:eastAsia="仿宋" w:hAnsi="仿宋" w:cs="Times New Roman"/>
          <w:color w:val="000000"/>
          <w:kern w:val="0"/>
          <w:sz w:val="28"/>
          <w:szCs w:val="28"/>
        </w:rPr>
        <w:t>庙南粉葛、罗泉豆腐、大方圆珠半夏、龙里刺梨、鸭溪窖酒实施地理标志产品保护的公告</w:t>
      </w:r>
      <w:r w:rsidRPr="00B7769C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》（2012年第102号）要求确定；</w:t>
      </w:r>
      <w:r w:rsidRPr="00B7769C">
        <w:rPr>
          <w:rFonts w:ascii="仿宋" w:eastAsia="仿宋" w:hAnsi="仿宋" w:hint="eastAsia"/>
          <w:color w:val="000000"/>
          <w:sz w:val="28"/>
          <w:szCs w:val="28"/>
        </w:rPr>
        <w:t>安全指标中</w:t>
      </w:r>
      <w:r w:rsidRPr="00B7769C">
        <w:rPr>
          <w:rFonts w:ascii="仿宋" w:eastAsia="仿宋" w:hAnsi="仿宋" w:hint="eastAsia"/>
          <w:sz w:val="28"/>
          <w:szCs w:val="28"/>
        </w:rPr>
        <w:t>污染物限量、真菌毒素限量、微生物限量直接引用GB 2712的规定；</w:t>
      </w:r>
      <w:r w:rsidRPr="00B7769C">
        <w:rPr>
          <w:rFonts w:ascii="仿宋" w:eastAsia="仿宋" w:hAnsi="仿宋" w:hint="eastAsia"/>
          <w:color w:val="000000"/>
          <w:sz w:val="28"/>
          <w:szCs w:val="28"/>
        </w:rPr>
        <w:t>食品添加剂限量</w:t>
      </w:r>
      <w:r w:rsidRPr="00B7769C">
        <w:rPr>
          <w:rFonts w:ascii="仿宋" w:eastAsia="仿宋" w:hAnsi="仿宋" w:hint="eastAsia"/>
          <w:sz w:val="28"/>
          <w:szCs w:val="28"/>
        </w:rPr>
        <w:t>直接引用GB</w:t>
      </w:r>
      <w:r w:rsidRPr="00B7769C">
        <w:rPr>
          <w:rFonts w:ascii="仿宋" w:eastAsia="仿宋" w:hAnsi="仿宋" w:hint="eastAsia"/>
          <w:spacing w:val="-26"/>
          <w:sz w:val="28"/>
          <w:szCs w:val="28"/>
        </w:rPr>
        <w:t xml:space="preserve"> </w:t>
      </w:r>
      <w:r w:rsidRPr="00B7769C">
        <w:rPr>
          <w:rFonts w:ascii="仿宋" w:eastAsia="仿宋" w:hAnsi="仿宋" w:hint="eastAsia"/>
          <w:sz w:val="28"/>
          <w:szCs w:val="28"/>
        </w:rPr>
        <w:t>2760</w:t>
      </w:r>
      <w:r w:rsidRPr="00B7769C">
        <w:rPr>
          <w:rFonts w:ascii="仿宋" w:eastAsia="仿宋" w:hAnsi="仿宋" w:hint="eastAsia"/>
          <w:spacing w:val="-3"/>
          <w:sz w:val="28"/>
          <w:szCs w:val="28"/>
        </w:rPr>
        <w:t>的规定；</w:t>
      </w:r>
      <w:r w:rsidRPr="00B7769C">
        <w:rPr>
          <w:rFonts w:ascii="仿宋" w:eastAsia="仿宋" w:hAnsi="仿宋" w:hint="eastAsia"/>
          <w:color w:val="000000"/>
          <w:sz w:val="28"/>
          <w:szCs w:val="28"/>
        </w:rPr>
        <w:t>净含量的规定应符合《定量包装商品计量监督管理办法》的要求。</w:t>
      </w:r>
    </w:p>
    <w:p w:rsidR="00B7769C" w:rsidRPr="00EC5622" w:rsidRDefault="004634D5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="00EC5622" w:rsidRPr="00EC56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7.</w:t>
      </w:r>
      <w:r w:rsidRPr="00EC56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检验方法</w:t>
      </w:r>
    </w:p>
    <w:p w:rsidR="004634D5" w:rsidRDefault="004634D5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根据罗泉豆腐的</w:t>
      </w:r>
      <w:r w:rsidR="00EC562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感官特征、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理化指标、安全指标</w:t>
      </w:r>
      <w:r w:rsidR="00EC562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、净含量的要求提出了相应的检测方法。</w:t>
      </w:r>
    </w:p>
    <w:p w:rsidR="00EC5622" w:rsidRDefault="00EC5622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 </w:t>
      </w:r>
      <w:r w:rsidRPr="00EC56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8.检验规则</w:t>
      </w:r>
    </w:p>
    <w:p w:rsidR="00EC5622" w:rsidRDefault="00EC5622" w:rsidP="00DE6243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 xml:space="preserve">    </w:t>
      </w:r>
      <w:r w:rsidRPr="00EC562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本章规定了产品组批、抽样、出厂检验、型式检验以及判定规则的要求。</w:t>
      </w:r>
    </w:p>
    <w:p w:rsidR="00EC5622" w:rsidRPr="00EC5622" w:rsidRDefault="00EC5622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</w:t>
      </w:r>
      <w:r w:rsidRPr="00EC56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 xml:space="preserve"> 9.标签、标志、包装、运输和贮存</w:t>
      </w:r>
    </w:p>
    <w:p w:rsidR="00EC5622" w:rsidRPr="00EC5622" w:rsidRDefault="00EC5622" w:rsidP="00DE6243">
      <w:pPr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</w:t>
      </w:r>
      <w:r w:rsidRPr="005513FE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本章规定了标志、标志、包装、运输和贮存</w:t>
      </w:r>
      <w:r w:rsidR="005513FE" w:rsidRPr="005513FE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的要求。根据</w:t>
      </w:r>
      <w:r w:rsidR="005513FE" w:rsidRPr="005513FE">
        <w:rPr>
          <w:rFonts w:ascii="仿宋" w:eastAsia="仿宋" w:hAnsi="仿宋" w:hint="eastAsia"/>
          <w:sz w:val="28"/>
          <w:szCs w:val="28"/>
        </w:rPr>
        <w:t>《地理标志产品保护规定》、GB/T 17924《地理标志产品标准通用要求》、GB 7718《食品安全国家标准 预包装食品标签通则》、GB 28050《食品安全国家标准 预包装食品营养标签通则》和GB/T 191 《包装储运图</w:t>
      </w:r>
      <w:r w:rsidR="005513FE" w:rsidRPr="005513FE">
        <w:rPr>
          <w:rFonts w:ascii="仿宋" w:eastAsia="仿宋" w:hAnsi="仿宋" w:hint="eastAsia"/>
          <w:sz w:val="28"/>
          <w:szCs w:val="28"/>
        </w:rPr>
        <w:lastRenderedPageBreak/>
        <w:t>形符号标志》的规定，确定了标志的使用和标签内容。</w:t>
      </w:r>
    </w:p>
    <w:p w:rsidR="00D55E06" w:rsidRDefault="009D41B6" w:rsidP="009D41B6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15" w:name="_Toc177504655"/>
      <w:r>
        <w:rPr>
          <w:rFonts w:ascii="黑体" w:eastAsia="黑体" w:hint="eastAsia"/>
          <w:b w:val="0"/>
          <w:sz w:val="32"/>
          <w:szCs w:val="32"/>
        </w:rPr>
        <w:t xml:space="preserve"> </w:t>
      </w:r>
      <w:r w:rsidR="00DE6243">
        <w:rPr>
          <w:rFonts w:ascii="黑体" w:eastAsia="黑体" w:hint="eastAsia"/>
          <w:b w:val="0"/>
          <w:sz w:val="32"/>
          <w:szCs w:val="32"/>
        </w:rPr>
        <w:t xml:space="preserve"> </w:t>
      </w:r>
      <w:r>
        <w:rPr>
          <w:rFonts w:ascii="黑体" w:eastAsia="黑体" w:hint="eastAsia"/>
          <w:b w:val="0"/>
          <w:sz w:val="32"/>
          <w:szCs w:val="32"/>
        </w:rPr>
        <w:t xml:space="preserve">  </w:t>
      </w:r>
      <w:bookmarkStart w:id="16" w:name="_Toc212732440"/>
      <w:r w:rsidR="00D55E06" w:rsidRPr="006615A2">
        <w:rPr>
          <w:rFonts w:ascii="黑体" w:eastAsia="黑体"/>
          <w:b w:val="0"/>
          <w:sz w:val="32"/>
          <w:szCs w:val="32"/>
        </w:rPr>
        <w:t>六、重大意见分歧的处理</w:t>
      </w:r>
      <w:bookmarkEnd w:id="15"/>
      <w:bookmarkEnd w:id="16"/>
    </w:p>
    <w:p w:rsidR="00001CD9" w:rsidRPr="00001CD9" w:rsidRDefault="00A10B6B" w:rsidP="00001CD9">
      <w:r>
        <w:rPr>
          <w:rFonts w:hint="eastAsia"/>
        </w:rPr>
        <w:t xml:space="preserve">     </w:t>
      </w:r>
      <w:r w:rsidR="00DE6243">
        <w:rPr>
          <w:rFonts w:hint="eastAsia"/>
        </w:rPr>
        <w:t xml:space="preserve"> 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本标准编制过程中，充分听取了行业管理部门和相关单位对标准的要求、意见和建议，编制过程中无重大分歧意见</w:t>
      </w:r>
      <w:r w:rsidR="00001CD9" w:rsidRPr="00001CD9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:rsidR="00D55E06" w:rsidRDefault="00001CD9" w:rsidP="00001CD9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17" w:name="_Toc177504656"/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18" w:name="_Toc212732441"/>
      <w:r w:rsidR="00D55E06" w:rsidRPr="006615A2">
        <w:rPr>
          <w:rFonts w:ascii="黑体" w:eastAsia="黑体" w:hint="eastAsia"/>
          <w:b w:val="0"/>
          <w:sz w:val="32"/>
          <w:szCs w:val="32"/>
        </w:rPr>
        <w:t>七、采用国际标准情况</w:t>
      </w:r>
      <w:bookmarkEnd w:id="17"/>
      <w:bookmarkEnd w:id="18"/>
    </w:p>
    <w:p w:rsidR="00001CD9" w:rsidRPr="00001CD9" w:rsidRDefault="00001CD9" w:rsidP="00001CD9">
      <w:r>
        <w:rPr>
          <w:rFonts w:hint="eastAsia"/>
        </w:rPr>
        <w:t xml:space="preserve">     </w:t>
      </w:r>
      <w:r w:rsidRPr="00001CD9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无。</w:t>
      </w:r>
    </w:p>
    <w:p w:rsidR="00D55E06" w:rsidRDefault="00001CD9" w:rsidP="00001CD9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19" w:name="_Toc177504657"/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20" w:name="_Toc212732442"/>
      <w:r w:rsidR="00D55E06" w:rsidRPr="006615A2">
        <w:rPr>
          <w:rFonts w:ascii="黑体" w:eastAsia="黑体" w:hint="eastAsia"/>
          <w:b w:val="0"/>
          <w:sz w:val="32"/>
          <w:szCs w:val="32"/>
        </w:rPr>
        <w:t>八、与现行法律法规和强制性标准的关系</w:t>
      </w:r>
      <w:bookmarkEnd w:id="19"/>
      <w:bookmarkEnd w:id="20"/>
    </w:p>
    <w:p w:rsidR="00001CD9" w:rsidRPr="00001CD9" w:rsidRDefault="00DE6243" w:rsidP="00001CD9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</w:t>
      </w:r>
      <w:r w:rsidR="00001CD9" w:rsidRPr="00001CD9">
        <w:rPr>
          <w:rFonts w:ascii="仿宋" w:eastAsia="仿宋" w:hAnsi="仿宋" w:hint="eastAsia"/>
          <w:sz w:val="28"/>
          <w:szCs w:val="28"/>
        </w:rPr>
        <w:t>本标准的制定主要基于《中华人民共和国标准化法》</w:t>
      </w:r>
      <w:r w:rsidR="00001CD9" w:rsidRPr="00001CD9">
        <w:rPr>
          <w:rFonts w:ascii="仿宋" w:eastAsia="仿宋" w:hAnsi="仿宋" w:cs="仿宋_GB2312"/>
          <w:sz w:val="28"/>
          <w:szCs w:val="28"/>
        </w:rPr>
        <w:t>《中华人民共和国产品质量法》《中华人民共和国食品安全法》</w:t>
      </w:r>
      <w:r w:rsidR="00001CD9" w:rsidRPr="00001CD9">
        <w:rPr>
          <w:rFonts w:ascii="仿宋" w:eastAsia="仿宋" w:hAnsi="仿宋" w:cs="仿宋_GB2312" w:hint="eastAsia"/>
          <w:sz w:val="28"/>
          <w:szCs w:val="28"/>
        </w:rPr>
        <w:t>《中华人民共和国标准化法实施条例》</w:t>
      </w:r>
      <w:r w:rsidR="00001CD9" w:rsidRPr="00001CD9">
        <w:rPr>
          <w:rFonts w:ascii="仿宋" w:eastAsia="仿宋" w:hAnsi="仿宋" w:cs="仿宋_GB2312"/>
          <w:sz w:val="28"/>
          <w:szCs w:val="28"/>
        </w:rPr>
        <w:t>《地理标志产品保护规定》</w:t>
      </w:r>
      <w:r w:rsidR="00001CD9" w:rsidRPr="00001CD9">
        <w:rPr>
          <w:rFonts w:ascii="仿宋" w:eastAsia="仿宋" w:hAnsi="仿宋" w:cs="仿宋_GB2312" w:hint="eastAsia"/>
          <w:sz w:val="28"/>
          <w:szCs w:val="28"/>
        </w:rPr>
        <w:t>等法律法规，并基于</w:t>
      </w:r>
      <w:r w:rsidR="00001CD9" w:rsidRPr="00001CD9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GB 2712 《食品安全国家标准 豆制品》、GB 22106 《非发酵豆制品》、GB 23494 《豆腐干》、DB 5110/T 38《地理标志产品 罗泉豆腐（干）加工技术规范》等现行国标、地标进行编制，与</w:t>
      </w:r>
      <w:r w:rsidR="00001CD9" w:rsidRPr="00001CD9">
        <w:rPr>
          <w:rFonts w:ascii="仿宋" w:eastAsia="仿宋" w:hAnsi="仿宋" w:cs="仿宋_GB2312" w:hint="eastAsia"/>
          <w:sz w:val="28"/>
          <w:szCs w:val="28"/>
        </w:rPr>
        <w:t>相关法律法规以及相关标准无任何抵触。</w:t>
      </w:r>
    </w:p>
    <w:p w:rsidR="00D55E06" w:rsidRDefault="009D41B6" w:rsidP="009D41B6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1" w:name="_Toc177504658"/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22" w:name="_Toc212732443"/>
      <w:r w:rsidR="00D55E06" w:rsidRPr="006615A2">
        <w:rPr>
          <w:rFonts w:ascii="黑体" w:eastAsia="黑体" w:hint="eastAsia"/>
          <w:b w:val="0"/>
          <w:sz w:val="32"/>
          <w:szCs w:val="32"/>
        </w:rPr>
        <w:t>九、贯彻标准的措施建议</w:t>
      </w:r>
      <w:bookmarkEnd w:id="21"/>
      <w:bookmarkEnd w:id="22"/>
    </w:p>
    <w:p w:rsidR="00C8568C" w:rsidRPr="00C8568C" w:rsidRDefault="00C8568C" w:rsidP="00C8568C">
      <w:r>
        <w:rPr>
          <w:rFonts w:hint="eastAsia"/>
        </w:rPr>
        <w:t xml:space="preserve">     </w:t>
      </w:r>
      <w:r w:rsidR="00F871AD" w:rsidRPr="00F871AD">
        <w:rPr>
          <w:rFonts w:ascii="仿宋" w:eastAsia="仿宋" w:hAnsi="仿宋" w:cs="仿宋_GB2312" w:hint="eastAsia"/>
          <w:sz w:val="28"/>
          <w:szCs w:val="28"/>
        </w:rPr>
        <w:t>标准发布后，建议加强标准的宣贯和示范，推动相关单位实施该项标准。</w:t>
      </w:r>
    </w:p>
    <w:p w:rsidR="00D55E06" w:rsidRDefault="009D41B6" w:rsidP="009D41B6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3" w:name="_Toc177504659"/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24" w:name="_Toc212732444"/>
      <w:r w:rsidR="00D55E06" w:rsidRPr="006615A2">
        <w:rPr>
          <w:rFonts w:ascii="黑体" w:eastAsia="黑体" w:hint="eastAsia"/>
          <w:b w:val="0"/>
          <w:sz w:val="32"/>
          <w:szCs w:val="32"/>
        </w:rPr>
        <w:t>十、涉及专利的有关说明</w:t>
      </w:r>
      <w:bookmarkEnd w:id="23"/>
      <w:bookmarkEnd w:id="24"/>
    </w:p>
    <w:p w:rsidR="00C8568C" w:rsidRPr="00C8568C" w:rsidRDefault="00C8568C" w:rsidP="00C8568C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</w:t>
      </w:r>
      <w:r w:rsidRPr="00C8568C">
        <w:rPr>
          <w:rFonts w:ascii="仿宋" w:eastAsia="仿宋" w:hAnsi="仿宋" w:hint="eastAsia"/>
          <w:sz w:val="28"/>
          <w:szCs w:val="28"/>
        </w:rPr>
        <w:t xml:space="preserve">   本标准无涉及的专利。</w:t>
      </w:r>
    </w:p>
    <w:p w:rsidR="00BD4A9E" w:rsidRPr="006615A2" w:rsidRDefault="009D41B6" w:rsidP="009D41B6">
      <w:pPr>
        <w:pStyle w:val="1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5" w:name="_Toc177504660"/>
      <w:r>
        <w:rPr>
          <w:rFonts w:ascii="黑体" w:eastAsia="黑体" w:hint="eastAsia"/>
          <w:b w:val="0"/>
          <w:sz w:val="32"/>
          <w:szCs w:val="32"/>
        </w:rPr>
        <w:t xml:space="preserve">   </w:t>
      </w:r>
      <w:bookmarkStart w:id="26" w:name="_Toc212732445"/>
      <w:r w:rsidR="00BD4A9E" w:rsidRPr="006615A2">
        <w:rPr>
          <w:rFonts w:ascii="黑体" w:eastAsia="黑体" w:hint="eastAsia"/>
          <w:b w:val="0"/>
          <w:sz w:val="32"/>
          <w:szCs w:val="32"/>
        </w:rPr>
        <w:t>十一、预期社会效益</w:t>
      </w:r>
      <w:bookmarkEnd w:id="25"/>
      <w:bookmarkEnd w:id="26"/>
    </w:p>
    <w:p w:rsidR="00D55E06" w:rsidRPr="00F871AD" w:rsidRDefault="00F871AD" w:rsidP="00F871A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F871AD">
        <w:rPr>
          <w:rFonts w:ascii="仿宋" w:eastAsia="仿宋" w:hAnsi="仿宋"/>
          <w:sz w:val="28"/>
          <w:szCs w:val="28"/>
        </w:rPr>
        <w:t>标准的实施将显著提升产品附加值与市场竞争力，有效带动从大豆种植、食品加工到文旅融合的全产业链发展，从而规范市场秩序，</w:t>
      </w:r>
      <w:r w:rsidRPr="00F871AD">
        <w:rPr>
          <w:rFonts w:ascii="仿宋" w:eastAsia="仿宋" w:hAnsi="仿宋"/>
          <w:sz w:val="28"/>
          <w:szCs w:val="28"/>
        </w:rPr>
        <w:lastRenderedPageBreak/>
        <w:t>创造经济效益，实现富民一方，最终推动这一历史名产在新时代焕发新的生机与活力。</w:t>
      </w:r>
    </w:p>
    <w:sectPr w:rsidR="00D55E06" w:rsidRPr="00F871AD" w:rsidSect="003D4211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8A" w:rsidRDefault="00B3058A" w:rsidP="002A412C">
      <w:r>
        <w:separator/>
      </w:r>
    </w:p>
  </w:endnote>
  <w:endnote w:type="continuationSeparator" w:id="0">
    <w:p w:rsidR="00B3058A" w:rsidRDefault="00B3058A" w:rsidP="002A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08665"/>
      <w:docPartObj>
        <w:docPartGallery w:val="Page Numbers (Bottom of Page)"/>
        <w:docPartUnique/>
      </w:docPartObj>
    </w:sdtPr>
    <w:sdtContent>
      <w:p w:rsidR="003D4211" w:rsidRDefault="003D4211">
        <w:pPr>
          <w:pStyle w:val="a4"/>
          <w:jc w:val="center"/>
        </w:pPr>
        <w:fldSimple w:instr=" PAGE   \* MERGEFORMAT ">
          <w:r w:rsidRPr="003D4211">
            <w:rPr>
              <w:noProof/>
              <w:lang w:val="zh-CN"/>
            </w:rPr>
            <w:t>9</w:t>
          </w:r>
        </w:fldSimple>
      </w:p>
    </w:sdtContent>
  </w:sdt>
  <w:p w:rsidR="003D4211" w:rsidRDefault="003D42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8A" w:rsidRDefault="00B3058A" w:rsidP="002A412C">
      <w:r>
        <w:separator/>
      </w:r>
    </w:p>
  </w:footnote>
  <w:footnote w:type="continuationSeparator" w:id="0">
    <w:p w:rsidR="00B3058A" w:rsidRDefault="00B3058A" w:rsidP="002A4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12C"/>
    <w:rsid w:val="00001CD9"/>
    <w:rsid w:val="00007DED"/>
    <w:rsid w:val="000F4BD5"/>
    <w:rsid w:val="00127EFC"/>
    <w:rsid w:val="00195A70"/>
    <w:rsid w:val="001C32A7"/>
    <w:rsid w:val="001D458C"/>
    <w:rsid w:val="001E2525"/>
    <w:rsid w:val="002A412C"/>
    <w:rsid w:val="002F5116"/>
    <w:rsid w:val="0031490C"/>
    <w:rsid w:val="00354E2F"/>
    <w:rsid w:val="003B6B0C"/>
    <w:rsid w:val="003D4211"/>
    <w:rsid w:val="00400D38"/>
    <w:rsid w:val="00435DC0"/>
    <w:rsid w:val="004634D5"/>
    <w:rsid w:val="004D3BDB"/>
    <w:rsid w:val="004F6131"/>
    <w:rsid w:val="005513FE"/>
    <w:rsid w:val="005723E4"/>
    <w:rsid w:val="005A4465"/>
    <w:rsid w:val="006153C8"/>
    <w:rsid w:val="00652BDA"/>
    <w:rsid w:val="006A1DCB"/>
    <w:rsid w:val="006D4FB8"/>
    <w:rsid w:val="006E54DD"/>
    <w:rsid w:val="007176FC"/>
    <w:rsid w:val="007355EF"/>
    <w:rsid w:val="0074296D"/>
    <w:rsid w:val="007635EF"/>
    <w:rsid w:val="007D4C2E"/>
    <w:rsid w:val="00850925"/>
    <w:rsid w:val="008827DF"/>
    <w:rsid w:val="008A09B5"/>
    <w:rsid w:val="008B0DD0"/>
    <w:rsid w:val="008B7056"/>
    <w:rsid w:val="0090408E"/>
    <w:rsid w:val="00980FA2"/>
    <w:rsid w:val="0098664A"/>
    <w:rsid w:val="00987201"/>
    <w:rsid w:val="009A691B"/>
    <w:rsid w:val="009D41B6"/>
    <w:rsid w:val="009F6CBA"/>
    <w:rsid w:val="00A045FD"/>
    <w:rsid w:val="00A1068B"/>
    <w:rsid w:val="00A10B6B"/>
    <w:rsid w:val="00A76D43"/>
    <w:rsid w:val="00AB1088"/>
    <w:rsid w:val="00B16302"/>
    <w:rsid w:val="00B207A9"/>
    <w:rsid w:val="00B25950"/>
    <w:rsid w:val="00B3058A"/>
    <w:rsid w:val="00B378D3"/>
    <w:rsid w:val="00B54DE7"/>
    <w:rsid w:val="00B648CE"/>
    <w:rsid w:val="00B7769C"/>
    <w:rsid w:val="00B86ECF"/>
    <w:rsid w:val="00B90AC2"/>
    <w:rsid w:val="00BD4A9E"/>
    <w:rsid w:val="00BE6E48"/>
    <w:rsid w:val="00C3063E"/>
    <w:rsid w:val="00C348BC"/>
    <w:rsid w:val="00C61C60"/>
    <w:rsid w:val="00C8568C"/>
    <w:rsid w:val="00D55E06"/>
    <w:rsid w:val="00D82261"/>
    <w:rsid w:val="00DE6243"/>
    <w:rsid w:val="00E55A3C"/>
    <w:rsid w:val="00E57283"/>
    <w:rsid w:val="00EB00CF"/>
    <w:rsid w:val="00EC5622"/>
    <w:rsid w:val="00F47787"/>
    <w:rsid w:val="00F65EB5"/>
    <w:rsid w:val="00F8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C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A6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A69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1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348B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348BC"/>
  </w:style>
  <w:style w:type="character" w:customStyle="1" w:styleId="2Char">
    <w:name w:val="标题 2 Char"/>
    <w:basedOn w:val="a0"/>
    <w:link w:val="2"/>
    <w:rsid w:val="009A69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9A691B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A76D4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76D43"/>
  </w:style>
  <w:style w:type="paragraph" w:styleId="20">
    <w:name w:val="toc 2"/>
    <w:basedOn w:val="a"/>
    <w:next w:val="a"/>
    <w:autoRedefine/>
    <w:uiPriority w:val="39"/>
    <w:unhideWhenUsed/>
    <w:rsid w:val="00A76D43"/>
    <w:pPr>
      <w:ind w:leftChars="200" w:left="420"/>
    </w:pPr>
  </w:style>
  <w:style w:type="character" w:styleId="a6">
    <w:name w:val="Hyperlink"/>
    <w:basedOn w:val="a0"/>
    <w:uiPriority w:val="99"/>
    <w:unhideWhenUsed/>
    <w:rsid w:val="00A76D43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76D4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76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ndard.sist.org.cn/StdSearch/stdDetail.aspx?AppID=GB/T%20191-2025&amp;v=GB/T%20191%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F74E9-7C8E-4A69-94C7-C2A8309F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925</Words>
  <Characters>5273</Characters>
  <Application>Microsoft Office Word</Application>
  <DocSecurity>0</DocSecurity>
  <Lines>43</Lines>
  <Paragraphs>12</Paragraphs>
  <ScaleCrop>false</ScaleCrop>
  <Company>Lenovo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2025-10-24T07:11:00Z</dcterms:created>
  <dcterms:modified xsi:type="dcterms:W3CDTF">2025-10-30T08:16:00Z</dcterms:modified>
</cp:coreProperties>
</file>